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標楷體" w:eastAsia="標楷體" w:hAnsi="標楷體" w:hint="eastAsia"/>
          <w:b/>
          <w:kern w:val="0"/>
          <w:sz w:val="36"/>
          <w:szCs w:val="36"/>
        </w:rPr>
        <w:alias w:val="標題"/>
        <w:tag w:val=""/>
        <w:id w:val="42718968"/>
        <w:placeholder>
          <w:docPart w:val="EE0DB00827B84C7F9A550A6D2B44B89F"/>
        </w:placeholder>
        <w:dataBinding w:prefixMappings="xmlns:ns0='http://purl.org/dc/elements/1.1/' xmlns:ns1='http://schemas.openxmlformats.org/package/2006/metadata/core-properties' " w:xpath="/ns1:coreProperties[1]/ns0:title[1]" w:storeItemID="{6C3C8BC8-F283-45AE-878A-BAB7291924A1}"/>
        <w:text/>
      </w:sdtPr>
      <w:sdtEndPr/>
      <w:sdtContent>
        <w:p w14:paraId="757B5CB9" w14:textId="6FC480F6" w:rsidR="00815FA0" w:rsidRDefault="008808CC" w:rsidP="00D67B32">
          <w:pPr>
            <w:overflowPunct w:val="0"/>
            <w:spacing w:after="240" w:line="500" w:lineRule="exact"/>
            <w:jc w:val="center"/>
            <w:rPr>
              <w:rFonts w:ascii="標楷體" w:eastAsia="標楷體" w:hAnsi="標楷體"/>
              <w:b/>
              <w:kern w:val="0"/>
              <w:sz w:val="36"/>
              <w:szCs w:val="36"/>
            </w:rPr>
          </w:pPr>
          <w:r w:rsidRPr="00A00228">
            <w:rPr>
              <w:rFonts w:ascii="標楷體" w:eastAsia="標楷體" w:hAnsi="標楷體" w:hint="eastAsia"/>
              <w:b/>
              <w:kern w:val="0"/>
              <w:sz w:val="36"/>
              <w:szCs w:val="36"/>
            </w:rPr>
            <w:t>考試院及所屬機關政府資料開放及應用獎勵措施</w:t>
          </w:r>
        </w:p>
      </w:sdtContent>
    </w:sdt>
    <w:p w14:paraId="29D1B4DC" w14:textId="2B049649" w:rsidR="00051ED4" w:rsidRPr="0011349C" w:rsidRDefault="00051ED4" w:rsidP="0011349C">
      <w:pPr>
        <w:spacing w:beforeLines="100" w:before="360" w:line="240" w:lineRule="exact"/>
        <w:jc w:val="right"/>
        <w:rPr>
          <w:rFonts w:ascii="標楷體" w:eastAsia="標楷體" w:hAnsi="標楷體"/>
          <w:color w:val="000000" w:themeColor="text1"/>
          <w:szCs w:val="24"/>
        </w:rPr>
      </w:pPr>
      <w:r w:rsidRPr="0011349C">
        <w:rPr>
          <w:rFonts w:ascii="標楷體" w:eastAsia="標楷體" w:hAnsi="標楷體" w:hint="eastAsia"/>
          <w:color w:val="000000" w:themeColor="text1"/>
          <w:szCs w:val="24"/>
        </w:rPr>
        <w:t>中華民國111年12月20日考臺編二字第1110900086號函分行</w:t>
      </w:r>
    </w:p>
    <w:p w14:paraId="6A0636D3" w14:textId="6F3B9957" w:rsidR="0011349C" w:rsidRDefault="0011349C" w:rsidP="0011349C">
      <w:pPr>
        <w:spacing w:line="240" w:lineRule="exact"/>
        <w:jc w:val="right"/>
        <w:rPr>
          <w:rFonts w:ascii="標楷體" w:eastAsia="標楷體" w:hAnsi="標楷體" w:cs="Arial"/>
          <w:bCs/>
          <w:noProof/>
          <w:szCs w:val="24"/>
          <w:lang w:bidi="hi-IN"/>
        </w:rPr>
      </w:pPr>
      <w:r w:rsidRPr="0011349C">
        <w:rPr>
          <w:rFonts w:ascii="標楷體" w:eastAsia="標楷體" w:hAnsi="標楷體" w:cs="Arial" w:hint="eastAsia"/>
          <w:bCs/>
          <w:noProof/>
          <w:szCs w:val="24"/>
          <w:lang w:bidi="hi-IN"/>
        </w:rPr>
        <w:t>中華民國112年</w:t>
      </w:r>
      <w:r>
        <w:rPr>
          <w:rFonts w:ascii="標楷體" w:eastAsia="標楷體" w:hAnsi="標楷體" w:cs="Arial" w:hint="eastAsia"/>
          <w:bCs/>
          <w:noProof/>
          <w:szCs w:val="24"/>
          <w:lang w:bidi="hi-IN"/>
        </w:rPr>
        <w:t xml:space="preserve"> </w:t>
      </w:r>
      <w:r w:rsidRPr="0011349C">
        <w:rPr>
          <w:rFonts w:ascii="標楷體" w:eastAsia="標楷體" w:hAnsi="標楷體" w:cs="Arial"/>
          <w:bCs/>
          <w:noProof/>
          <w:szCs w:val="24"/>
          <w:lang w:bidi="hi-IN"/>
        </w:rPr>
        <w:t>6</w:t>
      </w:r>
      <w:r>
        <w:rPr>
          <w:rFonts w:ascii="標楷體" w:eastAsia="標楷體" w:hAnsi="標楷體" w:cs="Arial" w:hint="eastAsia"/>
          <w:bCs/>
          <w:noProof/>
          <w:szCs w:val="24"/>
          <w:lang w:bidi="hi-IN"/>
        </w:rPr>
        <w:t xml:space="preserve"> </w:t>
      </w:r>
      <w:r w:rsidRPr="0011349C">
        <w:rPr>
          <w:rFonts w:ascii="標楷體" w:eastAsia="標楷體" w:hAnsi="標楷體" w:cs="Arial" w:hint="eastAsia"/>
          <w:bCs/>
          <w:noProof/>
          <w:szCs w:val="24"/>
          <w:lang w:bidi="hi-IN"/>
        </w:rPr>
        <w:t>月</w:t>
      </w:r>
      <w:r>
        <w:rPr>
          <w:rFonts w:ascii="標楷體" w:eastAsia="標楷體" w:hAnsi="標楷體" w:cs="Arial" w:hint="eastAsia"/>
          <w:bCs/>
          <w:noProof/>
          <w:szCs w:val="24"/>
          <w:lang w:bidi="hi-IN"/>
        </w:rPr>
        <w:t xml:space="preserve"> </w:t>
      </w:r>
      <w:r w:rsidRPr="0011349C">
        <w:rPr>
          <w:rFonts w:ascii="標楷體" w:eastAsia="標楷體" w:hAnsi="標楷體" w:cs="Arial"/>
          <w:bCs/>
          <w:noProof/>
          <w:szCs w:val="24"/>
          <w:lang w:bidi="hi-IN"/>
        </w:rPr>
        <w:t>6</w:t>
      </w:r>
      <w:r>
        <w:rPr>
          <w:rFonts w:ascii="標楷體" w:eastAsia="標楷體" w:hAnsi="標楷體" w:cs="Arial" w:hint="eastAsia"/>
          <w:bCs/>
          <w:noProof/>
          <w:szCs w:val="24"/>
          <w:lang w:bidi="hi-IN"/>
        </w:rPr>
        <w:t xml:space="preserve"> </w:t>
      </w:r>
      <w:r w:rsidRPr="0011349C">
        <w:rPr>
          <w:rFonts w:ascii="標楷體" w:eastAsia="標楷體" w:hAnsi="標楷體" w:cs="Arial" w:hint="eastAsia"/>
          <w:bCs/>
          <w:noProof/>
          <w:szCs w:val="24"/>
          <w:lang w:bidi="hi-IN"/>
        </w:rPr>
        <w:t>日考臺編二字第</w:t>
      </w:r>
      <w:r w:rsidRPr="0011349C">
        <w:rPr>
          <w:rFonts w:ascii="標楷體" w:eastAsia="標楷體" w:hAnsi="標楷體" w:cs="Arial"/>
          <w:bCs/>
          <w:noProof/>
          <w:szCs w:val="24"/>
          <w:lang w:bidi="hi-IN"/>
        </w:rPr>
        <w:t>1120900147</w:t>
      </w:r>
      <w:r w:rsidRPr="0011349C">
        <w:rPr>
          <w:rFonts w:ascii="標楷體" w:eastAsia="標楷體" w:hAnsi="標楷體" w:cs="Arial" w:hint="eastAsia"/>
          <w:bCs/>
          <w:noProof/>
          <w:szCs w:val="24"/>
          <w:lang w:bidi="hi-IN"/>
        </w:rPr>
        <w:t>號函修正</w:t>
      </w:r>
    </w:p>
    <w:p w14:paraId="5C7698BD" w14:textId="14DE9FB8" w:rsidR="00D13FC0" w:rsidRPr="00D13FC0" w:rsidRDefault="00647064" w:rsidP="0011349C">
      <w:pPr>
        <w:spacing w:line="240" w:lineRule="exact"/>
        <w:jc w:val="right"/>
        <w:rPr>
          <w:rFonts w:ascii="標楷體" w:eastAsia="標楷體" w:hAnsi="標楷體"/>
          <w:color w:val="000000" w:themeColor="text1"/>
          <w:szCs w:val="24"/>
        </w:rPr>
      </w:pPr>
      <w:r w:rsidRPr="00647064">
        <w:rPr>
          <w:rFonts w:ascii="標楷體" w:eastAsia="標楷體" w:hAnsi="標楷體" w:cs="Arial" w:hint="eastAsia"/>
          <w:bCs/>
          <w:noProof/>
          <w:szCs w:val="24"/>
          <w:lang w:bidi="hi-IN"/>
        </w:rPr>
        <w:t>中華民國112年12月25日考臺編二字第1120900247號函修正</w:t>
      </w:r>
    </w:p>
    <w:p w14:paraId="4B06FE0E" w14:textId="08243AD7" w:rsidR="007E5BC3" w:rsidRPr="007E5BC3" w:rsidRDefault="009708DC" w:rsidP="00051ED4">
      <w:pPr>
        <w:pStyle w:val="a4"/>
        <w:numPr>
          <w:ilvl w:val="0"/>
          <w:numId w:val="5"/>
        </w:numPr>
        <w:overflowPunct w:val="0"/>
        <w:spacing w:line="500" w:lineRule="exact"/>
        <w:ind w:leftChars="0"/>
        <w:jc w:val="both"/>
        <w:rPr>
          <w:rFonts w:ascii="標楷體" w:eastAsia="標楷體" w:hAnsi="標楷體"/>
          <w:b/>
          <w:bCs/>
          <w:kern w:val="0"/>
          <w:sz w:val="32"/>
          <w:szCs w:val="32"/>
        </w:rPr>
      </w:pPr>
      <w:r w:rsidRPr="007E5BC3">
        <w:rPr>
          <w:rFonts w:ascii="標楷體" w:eastAsia="標楷體" w:hAnsi="標楷體" w:hint="eastAsia"/>
          <w:b/>
          <w:bCs/>
          <w:kern w:val="0"/>
          <w:sz w:val="32"/>
          <w:szCs w:val="32"/>
        </w:rPr>
        <w:t>前言</w:t>
      </w:r>
    </w:p>
    <w:p w14:paraId="2832564A" w14:textId="0B67B2AA" w:rsidR="00D079B8" w:rsidRPr="00D67B32" w:rsidRDefault="00D079B8" w:rsidP="00A00228">
      <w:pPr>
        <w:overflowPunct w:val="0"/>
        <w:spacing w:line="500" w:lineRule="exact"/>
        <w:ind w:leftChars="250" w:left="600" w:firstLineChars="200" w:firstLine="640"/>
        <w:jc w:val="both"/>
        <w:rPr>
          <w:rFonts w:ascii="標楷體" w:eastAsia="標楷體" w:hAnsi="標楷體"/>
          <w:kern w:val="0"/>
          <w:sz w:val="32"/>
          <w:szCs w:val="32"/>
        </w:rPr>
      </w:pPr>
      <w:r w:rsidRPr="00D67B32">
        <w:rPr>
          <w:rFonts w:ascii="標楷體" w:eastAsia="標楷體" w:hAnsi="標楷體" w:hint="eastAsia"/>
          <w:kern w:val="0"/>
          <w:sz w:val="32"/>
          <w:szCs w:val="32"/>
        </w:rPr>
        <w:t>考試院</w:t>
      </w:r>
      <w:r w:rsidRPr="00D67B32">
        <w:rPr>
          <w:rFonts w:ascii="標楷體" w:eastAsia="標楷體" w:hAnsi="標楷體"/>
          <w:kern w:val="0"/>
          <w:sz w:val="32"/>
          <w:szCs w:val="32"/>
        </w:rPr>
        <w:t>(以下簡稱本院)為強化</w:t>
      </w:r>
      <w:r w:rsidR="00774758" w:rsidRPr="00D67B32">
        <w:rPr>
          <w:rFonts w:ascii="標楷體" w:eastAsia="標楷體" w:hAnsi="標楷體"/>
          <w:kern w:val="0"/>
          <w:sz w:val="32"/>
          <w:szCs w:val="32"/>
        </w:rPr>
        <w:t>政府資料開放</w:t>
      </w:r>
      <w:r w:rsidR="00777CC6">
        <w:rPr>
          <w:rFonts w:ascii="標楷體" w:eastAsia="標楷體" w:hAnsi="標楷體" w:hint="eastAsia"/>
          <w:kern w:val="0"/>
          <w:sz w:val="32"/>
          <w:szCs w:val="32"/>
        </w:rPr>
        <w:t>並</w:t>
      </w:r>
      <w:r w:rsidRPr="00D67B32">
        <w:rPr>
          <w:rFonts w:ascii="標楷體" w:eastAsia="標楷體" w:hAnsi="標楷體"/>
          <w:kern w:val="0"/>
          <w:sz w:val="32"/>
          <w:szCs w:val="32"/>
        </w:rPr>
        <w:t>永續發展</w:t>
      </w:r>
      <w:r w:rsidRPr="00D67B32">
        <w:rPr>
          <w:rFonts w:ascii="標楷體" w:eastAsia="標楷體" w:hAnsi="標楷體" w:hint="eastAsia"/>
          <w:kern w:val="0"/>
          <w:sz w:val="32"/>
          <w:szCs w:val="32"/>
        </w:rPr>
        <w:t>，鼓勵本院及所屬機關</w:t>
      </w:r>
      <w:r w:rsidRPr="00D67B32">
        <w:rPr>
          <w:rFonts w:ascii="標楷體" w:eastAsia="標楷體" w:hAnsi="標楷體"/>
          <w:kern w:val="0"/>
          <w:sz w:val="32"/>
          <w:szCs w:val="32"/>
        </w:rPr>
        <w:t>(以下簡稱各機關)優化政府資料開放作業，</w:t>
      </w:r>
      <w:r w:rsidR="00F12C26">
        <w:rPr>
          <w:rFonts w:ascii="標楷體" w:eastAsia="標楷體" w:hAnsi="標楷體"/>
          <w:kern w:val="0"/>
          <w:sz w:val="32"/>
          <w:szCs w:val="32"/>
        </w:rPr>
        <w:t>提升</w:t>
      </w:r>
      <w:r w:rsidRPr="00D67B32">
        <w:rPr>
          <w:rFonts w:ascii="標楷體" w:eastAsia="標楷體" w:hAnsi="標楷體"/>
          <w:kern w:val="0"/>
          <w:sz w:val="32"/>
          <w:szCs w:val="32"/>
        </w:rPr>
        <w:t>開放資料品質及其應用效益，特訂定本獎勵措施。</w:t>
      </w:r>
    </w:p>
    <w:p w14:paraId="07BDA192" w14:textId="5E418687" w:rsidR="009708DC" w:rsidRPr="00D67B32" w:rsidRDefault="009708DC" w:rsidP="00D67B32">
      <w:pPr>
        <w:pStyle w:val="a4"/>
        <w:numPr>
          <w:ilvl w:val="0"/>
          <w:numId w:val="5"/>
        </w:numPr>
        <w:overflowPunct w:val="0"/>
        <w:spacing w:before="240" w:line="500" w:lineRule="exact"/>
        <w:ind w:leftChars="0"/>
        <w:jc w:val="both"/>
        <w:rPr>
          <w:rFonts w:ascii="標楷體" w:eastAsia="標楷體" w:hAnsi="標楷體"/>
          <w:b/>
          <w:bCs/>
          <w:kern w:val="0"/>
          <w:sz w:val="32"/>
          <w:szCs w:val="32"/>
        </w:rPr>
      </w:pPr>
      <w:r w:rsidRPr="00D67B32">
        <w:rPr>
          <w:rFonts w:ascii="標楷體" w:eastAsia="標楷體" w:hAnsi="標楷體" w:hint="eastAsia"/>
          <w:b/>
          <w:bCs/>
          <w:kern w:val="0"/>
          <w:sz w:val="32"/>
          <w:szCs w:val="32"/>
        </w:rPr>
        <w:t>訂定依據</w:t>
      </w:r>
    </w:p>
    <w:p w14:paraId="2D101DE2" w14:textId="540CF31A" w:rsidR="0011349C" w:rsidRDefault="00D079B8" w:rsidP="0011349C">
      <w:pPr>
        <w:overflowPunct w:val="0"/>
        <w:spacing w:line="500" w:lineRule="exact"/>
        <w:ind w:leftChars="250" w:left="600" w:firstLineChars="200" w:firstLine="640"/>
        <w:jc w:val="both"/>
        <w:rPr>
          <w:rFonts w:ascii="標楷體" w:eastAsia="標楷體" w:hAnsi="標楷體"/>
          <w:kern w:val="0"/>
          <w:sz w:val="32"/>
          <w:szCs w:val="32"/>
        </w:rPr>
      </w:pPr>
      <w:r w:rsidRPr="00D67B32">
        <w:rPr>
          <w:rFonts w:ascii="標楷體" w:eastAsia="標楷體" w:hAnsi="標楷體" w:hint="eastAsia"/>
          <w:kern w:val="0"/>
          <w:sz w:val="32"/>
          <w:szCs w:val="32"/>
        </w:rPr>
        <w:t>依「考試院及所屬機關政府資料開放作業原則」第十三點訂定。</w:t>
      </w:r>
    </w:p>
    <w:p w14:paraId="484F6239" w14:textId="2CB3439C" w:rsidR="0011349C" w:rsidRPr="0011349C" w:rsidRDefault="0011349C" w:rsidP="0011349C">
      <w:pPr>
        <w:pStyle w:val="a4"/>
        <w:numPr>
          <w:ilvl w:val="0"/>
          <w:numId w:val="5"/>
        </w:numPr>
        <w:overflowPunct w:val="0"/>
        <w:spacing w:before="240" w:line="460" w:lineRule="exact"/>
        <w:ind w:leftChars="0"/>
        <w:jc w:val="both"/>
        <w:rPr>
          <w:rFonts w:ascii="標楷體" w:eastAsia="標楷體" w:hAnsi="標楷體"/>
          <w:b/>
          <w:kern w:val="0"/>
          <w:sz w:val="32"/>
          <w:szCs w:val="32"/>
        </w:rPr>
      </w:pPr>
      <w:r w:rsidRPr="0011349C">
        <w:rPr>
          <w:rFonts w:ascii="標楷體" w:eastAsia="標楷體" w:hAnsi="標楷體" w:hint="eastAsia"/>
          <w:b/>
          <w:kern w:val="0"/>
          <w:sz w:val="32"/>
          <w:szCs w:val="32"/>
        </w:rPr>
        <w:t>獎勵措施</w:t>
      </w:r>
    </w:p>
    <w:p w14:paraId="28780D62" w14:textId="77777777" w:rsidR="0011349C" w:rsidRPr="0011349C" w:rsidRDefault="0011349C" w:rsidP="0011349C">
      <w:pPr>
        <w:pStyle w:val="a4"/>
        <w:overflowPunct w:val="0"/>
        <w:spacing w:line="460" w:lineRule="exact"/>
        <w:ind w:leftChars="0" w:left="601" w:firstLineChars="200" w:firstLine="640"/>
        <w:jc w:val="both"/>
        <w:rPr>
          <w:rFonts w:ascii="標楷體" w:eastAsia="標楷體" w:hAnsi="標楷體"/>
          <w:bCs/>
          <w:kern w:val="0"/>
          <w:sz w:val="32"/>
          <w:szCs w:val="32"/>
        </w:rPr>
      </w:pPr>
      <w:r w:rsidRPr="0011349C">
        <w:rPr>
          <w:rFonts w:ascii="標楷體" w:eastAsia="標楷體" w:hAnsi="標楷體" w:hint="eastAsia"/>
          <w:bCs/>
          <w:kern w:val="0"/>
          <w:sz w:val="32"/>
          <w:szCs w:val="32"/>
        </w:rPr>
        <w:t>本獎勵措施分為績效考核性質獎勵及應用性質獎勵二種。</w:t>
      </w:r>
    </w:p>
    <w:p w14:paraId="20A638ED" w14:textId="77777777" w:rsidR="0011349C" w:rsidRPr="0011349C" w:rsidRDefault="0011349C" w:rsidP="0011349C">
      <w:pPr>
        <w:overflowPunct w:val="0"/>
        <w:spacing w:before="240" w:line="460" w:lineRule="exact"/>
        <w:ind w:leftChars="100" w:left="240"/>
        <w:jc w:val="both"/>
        <w:rPr>
          <w:rFonts w:ascii="標楷體" w:eastAsia="標楷體" w:hAnsi="標楷體"/>
          <w:bCs/>
          <w:kern w:val="0"/>
          <w:sz w:val="32"/>
          <w:szCs w:val="32"/>
        </w:rPr>
      </w:pPr>
      <w:r w:rsidRPr="0011349C">
        <w:rPr>
          <w:rFonts w:ascii="標楷體" w:eastAsia="標楷體" w:hAnsi="標楷體"/>
          <w:bCs/>
          <w:kern w:val="0"/>
          <w:sz w:val="32"/>
          <w:szCs w:val="32"/>
        </w:rPr>
        <w:t>(</w:t>
      </w:r>
      <w:r w:rsidRPr="0011349C">
        <w:rPr>
          <w:rFonts w:ascii="標楷體" w:eastAsia="標楷體" w:hAnsi="標楷體" w:hint="eastAsia"/>
          <w:bCs/>
          <w:kern w:val="0"/>
          <w:sz w:val="32"/>
          <w:szCs w:val="32"/>
        </w:rPr>
        <w:t>一)績效考核性質獎勵：</w:t>
      </w:r>
      <w:bookmarkStart w:id="0" w:name="_Hlk114833126"/>
      <w:r w:rsidRPr="0011349C">
        <w:rPr>
          <w:rFonts w:ascii="標楷體" w:eastAsia="標楷體" w:hAnsi="標楷體" w:hint="eastAsia"/>
          <w:bCs/>
          <w:kern w:val="0"/>
          <w:sz w:val="32"/>
          <w:szCs w:val="32"/>
        </w:rPr>
        <w:t>考試院政府資料開放優質獎</w:t>
      </w:r>
      <w:bookmarkEnd w:id="0"/>
    </w:p>
    <w:p w14:paraId="23E2AB26" w14:textId="599DB315" w:rsidR="0011349C" w:rsidRPr="0011349C" w:rsidRDefault="0011349C" w:rsidP="00F40931">
      <w:pPr>
        <w:overflowPunct w:val="0"/>
        <w:spacing w:line="460" w:lineRule="exact"/>
        <w:ind w:leftChars="367" w:left="881" w:firstLineChars="200" w:firstLine="640"/>
        <w:jc w:val="both"/>
        <w:rPr>
          <w:rFonts w:ascii="標楷體" w:eastAsia="標楷體" w:hAnsi="標楷體"/>
          <w:bCs/>
          <w:kern w:val="0"/>
          <w:sz w:val="32"/>
          <w:szCs w:val="32"/>
        </w:rPr>
      </w:pPr>
      <w:r w:rsidRPr="0011349C">
        <w:rPr>
          <w:rFonts w:ascii="標楷體" w:eastAsia="標楷體" w:hAnsi="標楷體" w:hint="eastAsia"/>
          <w:bCs/>
          <w:kern w:val="0"/>
          <w:sz w:val="32"/>
          <w:szCs w:val="32"/>
        </w:rPr>
        <w:t>為考核各機關推動資料開放之績效，並鼓勵提升資料品質，</w:t>
      </w:r>
      <w:r w:rsidRPr="0011349C">
        <w:rPr>
          <w:rFonts w:ascii="標楷體" w:eastAsia="標楷體" w:hAnsi="標楷體"/>
          <w:bCs/>
          <w:kern w:val="0"/>
          <w:sz w:val="32"/>
          <w:szCs w:val="32"/>
        </w:rPr>
        <w:t>促進資料之可取得性、機器可讀性(易於處理)及易理解性，特</w:t>
      </w:r>
      <w:r w:rsidRPr="0011349C">
        <w:rPr>
          <w:rFonts w:ascii="標楷體" w:eastAsia="標楷體" w:hAnsi="標楷體" w:hint="eastAsia"/>
          <w:bCs/>
          <w:kern w:val="0"/>
          <w:sz w:val="32"/>
          <w:szCs w:val="32"/>
        </w:rPr>
        <w:t>以本院及所屬二級機關(含所屬)為考核對象，</w:t>
      </w:r>
      <w:r w:rsidRPr="0011349C">
        <w:rPr>
          <w:rFonts w:ascii="標楷體" w:eastAsia="標楷體" w:hAnsi="標楷體"/>
          <w:bCs/>
          <w:kern w:val="0"/>
          <w:sz w:val="32"/>
          <w:szCs w:val="32"/>
        </w:rPr>
        <w:t>設政府資料開放優質獎</w:t>
      </w:r>
      <w:r w:rsidRPr="0011349C">
        <w:rPr>
          <w:rFonts w:ascii="標楷體" w:eastAsia="標楷體" w:hAnsi="標楷體" w:hint="eastAsia"/>
          <w:bCs/>
          <w:kern w:val="0"/>
          <w:sz w:val="32"/>
          <w:szCs w:val="32"/>
        </w:rPr>
        <w:t>。</w:t>
      </w:r>
    </w:p>
    <w:p w14:paraId="49CC9C7B" w14:textId="77777777" w:rsidR="0011349C" w:rsidRPr="0011349C" w:rsidRDefault="0011349C" w:rsidP="0011349C">
      <w:pPr>
        <w:overflowPunct w:val="0"/>
        <w:spacing w:before="240" w:line="460" w:lineRule="exact"/>
        <w:ind w:leftChars="200" w:left="480"/>
        <w:jc w:val="both"/>
        <w:rPr>
          <w:rFonts w:ascii="標楷體" w:eastAsia="標楷體" w:hAnsi="標楷體"/>
          <w:bCs/>
          <w:kern w:val="0"/>
          <w:sz w:val="32"/>
          <w:szCs w:val="32"/>
        </w:rPr>
      </w:pPr>
      <w:r w:rsidRPr="0011349C">
        <w:rPr>
          <w:rFonts w:ascii="標楷體" w:eastAsia="標楷體" w:hAnsi="標楷體" w:hint="eastAsia"/>
          <w:bCs/>
          <w:kern w:val="0"/>
          <w:sz w:val="32"/>
          <w:szCs w:val="32"/>
        </w:rPr>
        <w:t>1.評核對象及範圍</w:t>
      </w:r>
    </w:p>
    <w:p w14:paraId="499C060E" w14:textId="77777777" w:rsidR="0011349C" w:rsidRPr="0011349C" w:rsidRDefault="0011349C" w:rsidP="0011349C">
      <w:pPr>
        <w:overflowPunct w:val="0"/>
        <w:spacing w:before="240" w:line="460" w:lineRule="exact"/>
        <w:ind w:leftChars="300" w:left="1200" w:hangingChars="150" w:hanging="480"/>
        <w:jc w:val="both"/>
        <w:rPr>
          <w:rFonts w:ascii="標楷體" w:eastAsia="標楷體" w:hAnsi="標楷體"/>
          <w:bCs/>
          <w:kern w:val="0"/>
          <w:sz w:val="32"/>
          <w:szCs w:val="32"/>
        </w:rPr>
      </w:pPr>
      <w:r w:rsidRPr="0011349C">
        <w:rPr>
          <w:rFonts w:ascii="標楷體" w:eastAsia="標楷體" w:hAnsi="標楷體" w:hint="eastAsia"/>
          <w:bCs/>
          <w:kern w:val="0"/>
          <w:sz w:val="32"/>
          <w:szCs w:val="32"/>
        </w:rPr>
        <w:t>(1)各機關推動資料開放之績效。</w:t>
      </w:r>
    </w:p>
    <w:p w14:paraId="01A12C18" w14:textId="77777777" w:rsidR="0011349C" w:rsidRPr="0011349C" w:rsidRDefault="0011349C" w:rsidP="0011349C">
      <w:pPr>
        <w:overflowPunct w:val="0"/>
        <w:spacing w:before="240" w:line="460" w:lineRule="exact"/>
        <w:ind w:leftChars="300" w:left="1200" w:hangingChars="150" w:hanging="480"/>
        <w:jc w:val="both"/>
        <w:rPr>
          <w:rFonts w:ascii="標楷體" w:eastAsia="標楷體" w:hAnsi="標楷體"/>
          <w:bCs/>
          <w:kern w:val="0"/>
          <w:sz w:val="32"/>
          <w:szCs w:val="32"/>
        </w:rPr>
      </w:pPr>
      <w:r w:rsidRPr="0011349C">
        <w:rPr>
          <w:rFonts w:ascii="標楷體" w:eastAsia="標楷體" w:hAnsi="標楷體" w:hint="eastAsia"/>
          <w:bCs/>
          <w:kern w:val="0"/>
          <w:sz w:val="32"/>
          <w:szCs w:val="32"/>
        </w:rPr>
        <w:t>(2)各機關開放於政府資料開放平臺</w:t>
      </w:r>
      <w:r w:rsidRPr="0011349C">
        <w:rPr>
          <w:rFonts w:ascii="標楷體" w:eastAsia="標楷體" w:hAnsi="標楷體"/>
          <w:bCs/>
          <w:spacing w:val="-22"/>
          <w:kern w:val="0"/>
          <w:sz w:val="32"/>
          <w:szCs w:val="32"/>
        </w:rPr>
        <w:t>(data.gov.tw)</w:t>
      </w:r>
      <w:r w:rsidRPr="0011349C">
        <w:rPr>
          <w:rFonts w:ascii="標楷體" w:eastAsia="標楷體" w:hAnsi="標楷體" w:hint="eastAsia"/>
          <w:bCs/>
          <w:kern w:val="0"/>
          <w:sz w:val="32"/>
          <w:szCs w:val="32"/>
        </w:rPr>
        <w:t>之資料集。</w:t>
      </w:r>
    </w:p>
    <w:p w14:paraId="1F254281" w14:textId="57CB8EE1" w:rsidR="0011349C" w:rsidRDefault="0011349C" w:rsidP="0011349C">
      <w:pPr>
        <w:overflowPunct w:val="0"/>
        <w:spacing w:before="240" w:line="460" w:lineRule="exact"/>
        <w:ind w:leftChars="300" w:left="1200" w:hangingChars="150" w:hanging="480"/>
        <w:jc w:val="both"/>
        <w:rPr>
          <w:rFonts w:ascii="標楷體" w:eastAsia="標楷體" w:hAnsi="標楷體"/>
          <w:bCs/>
          <w:kern w:val="0"/>
          <w:sz w:val="32"/>
          <w:szCs w:val="32"/>
        </w:rPr>
      </w:pPr>
      <w:r w:rsidRPr="0011349C">
        <w:rPr>
          <w:rFonts w:ascii="標楷體" w:eastAsia="標楷體" w:hAnsi="標楷體" w:hint="eastAsia"/>
          <w:bCs/>
          <w:kern w:val="0"/>
          <w:sz w:val="32"/>
          <w:szCs w:val="32"/>
        </w:rPr>
        <w:t>(3)各機關僅開放於機關官網或相關專區之資料集。</w:t>
      </w:r>
    </w:p>
    <w:p w14:paraId="3735269B" w14:textId="77777777" w:rsidR="0011349C" w:rsidRDefault="0011349C">
      <w:pPr>
        <w:widowControl/>
        <w:rPr>
          <w:rFonts w:ascii="標楷體" w:eastAsia="標楷體" w:hAnsi="標楷體"/>
          <w:bCs/>
          <w:kern w:val="0"/>
          <w:sz w:val="32"/>
          <w:szCs w:val="32"/>
        </w:rPr>
      </w:pPr>
      <w:r>
        <w:rPr>
          <w:rFonts w:ascii="標楷體" w:eastAsia="標楷體" w:hAnsi="標楷體"/>
          <w:bCs/>
          <w:kern w:val="0"/>
          <w:sz w:val="32"/>
          <w:szCs w:val="32"/>
        </w:rPr>
        <w:br w:type="page"/>
      </w:r>
    </w:p>
    <w:p w14:paraId="737501AA" w14:textId="77777777" w:rsidR="0011349C" w:rsidRPr="0011349C" w:rsidRDefault="0011349C" w:rsidP="0011349C">
      <w:pPr>
        <w:overflowPunct w:val="0"/>
        <w:spacing w:before="240" w:line="460" w:lineRule="exact"/>
        <w:ind w:leftChars="200" w:left="480"/>
        <w:jc w:val="both"/>
        <w:rPr>
          <w:bCs/>
          <w:sz w:val="32"/>
          <w:szCs w:val="32"/>
        </w:rPr>
      </w:pPr>
      <w:r w:rsidRPr="0011349C">
        <w:rPr>
          <w:rFonts w:ascii="標楷體" w:eastAsia="標楷體" w:hAnsi="標楷體" w:hint="eastAsia"/>
          <w:bCs/>
          <w:kern w:val="0"/>
          <w:sz w:val="32"/>
          <w:szCs w:val="32"/>
        </w:rPr>
        <w:lastRenderedPageBreak/>
        <w:t>2.評核項目</w:t>
      </w:r>
    </w:p>
    <w:tbl>
      <w:tblPr>
        <w:tblStyle w:val="a6"/>
        <w:tblW w:w="4551" w:type="pct"/>
        <w:tblInd w:w="833" w:type="dxa"/>
        <w:tblLook w:val="04A0" w:firstRow="1" w:lastRow="0" w:firstColumn="1" w:lastColumn="0" w:noHBand="0" w:noVBand="1"/>
      </w:tblPr>
      <w:tblGrid>
        <w:gridCol w:w="853"/>
        <w:gridCol w:w="2013"/>
        <w:gridCol w:w="4399"/>
        <w:gridCol w:w="941"/>
      </w:tblGrid>
      <w:tr w:rsidR="0011349C" w:rsidRPr="0096366A" w14:paraId="7D9D8E98" w14:textId="77777777" w:rsidTr="00C96EC6">
        <w:tc>
          <w:tcPr>
            <w:tcW w:w="517" w:type="pct"/>
            <w:vAlign w:val="center"/>
          </w:tcPr>
          <w:p w14:paraId="6ACDC1F1" w14:textId="77777777" w:rsidR="0011349C" w:rsidRPr="0096366A"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t>項次</w:t>
            </w:r>
          </w:p>
        </w:tc>
        <w:tc>
          <w:tcPr>
            <w:tcW w:w="1228" w:type="pct"/>
            <w:vAlign w:val="center"/>
          </w:tcPr>
          <w:p w14:paraId="7296216D" w14:textId="77777777" w:rsidR="0011349C" w:rsidRPr="0096366A"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t>評核項目</w:t>
            </w:r>
          </w:p>
        </w:tc>
        <w:tc>
          <w:tcPr>
            <w:tcW w:w="2681" w:type="pct"/>
            <w:vAlign w:val="center"/>
          </w:tcPr>
          <w:p w14:paraId="048D3B93" w14:textId="77777777" w:rsidR="0011349C" w:rsidRPr="0096366A"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t>說明</w:t>
            </w:r>
          </w:p>
        </w:tc>
        <w:tc>
          <w:tcPr>
            <w:tcW w:w="574" w:type="pct"/>
            <w:vAlign w:val="center"/>
          </w:tcPr>
          <w:p w14:paraId="39333C50" w14:textId="77777777" w:rsidR="0011349C" w:rsidRPr="0096366A" w:rsidRDefault="0011349C" w:rsidP="00C96EC6">
            <w:pPr>
              <w:pStyle w:val="a4"/>
              <w:overflowPunct w:val="0"/>
              <w:spacing w:line="460" w:lineRule="exact"/>
              <w:ind w:leftChars="0" w:left="305" w:hanging="305"/>
              <w:jc w:val="center"/>
              <w:rPr>
                <w:rFonts w:ascii="標楷體" w:eastAsia="標楷體" w:hAnsi="標楷體"/>
                <w:bCs/>
                <w:spacing w:val="-20"/>
                <w:kern w:val="0"/>
                <w:sz w:val="28"/>
                <w:szCs w:val="28"/>
              </w:rPr>
            </w:pPr>
            <w:r w:rsidRPr="0096366A">
              <w:rPr>
                <w:rFonts w:ascii="標楷體" w:eastAsia="標楷體" w:hAnsi="標楷體" w:hint="eastAsia"/>
                <w:bCs/>
                <w:spacing w:val="-20"/>
                <w:kern w:val="0"/>
                <w:sz w:val="28"/>
                <w:szCs w:val="28"/>
              </w:rPr>
              <w:t>占分比</w:t>
            </w:r>
          </w:p>
        </w:tc>
      </w:tr>
      <w:tr w:rsidR="0011349C" w:rsidRPr="0096366A" w14:paraId="2AFAE56B" w14:textId="77777777" w:rsidTr="00C96EC6">
        <w:tc>
          <w:tcPr>
            <w:tcW w:w="517" w:type="pct"/>
            <w:vAlign w:val="center"/>
          </w:tcPr>
          <w:p w14:paraId="20744CA4" w14:textId="77777777" w:rsidR="0011349C" w:rsidRPr="0096366A"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t>1</w:t>
            </w:r>
          </w:p>
        </w:tc>
        <w:tc>
          <w:tcPr>
            <w:tcW w:w="1228" w:type="pct"/>
            <w:vAlign w:val="center"/>
          </w:tcPr>
          <w:p w14:paraId="28ACE6F4" w14:textId="77777777" w:rsidR="0011349C" w:rsidRPr="0096366A"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t>資料(集)數量</w:t>
            </w:r>
          </w:p>
        </w:tc>
        <w:tc>
          <w:tcPr>
            <w:tcW w:w="2681" w:type="pct"/>
            <w:vAlign w:val="center"/>
          </w:tcPr>
          <w:p w14:paraId="0C24DB09" w14:textId="001D476D" w:rsidR="0011349C" w:rsidRPr="0096366A" w:rsidRDefault="003247F4" w:rsidP="00C96EC6">
            <w:pPr>
              <w:pStyle w:val="a4"/>
              <w:overflowPunct w:val="0"/>
              <w:snapToGrid w:val="0"/>
              <w:spacing w:line="460" w:lineRule="exact"/>
              <w:ind w:leftChars="0" w:left="0"/>
              <w:rPr>
                <w:rFonts w:ascii="標楷體" w:eastAsia="標楷體" w:hAnsi="標楷體"/>
                <w:bCs/>
                <w:color w:val="000000" w:themeColor="text1"/>
                <w:kern w:val="0"/>
                <w:sz w:val="28"/>
                <w:szCs w:val="28"/>
              </w:rPr>
            </w:pPr>
            <w:r w:rsidRPr="003247F4">
              <w:rPr>
                <w:rFonts w:ascii="標楷體" w:eastAsia="標楷體" w:hAnsi="標楷體" w:hint="eastAsia"/>
                <w:bCs/>
                <w:color w:val="000000" w:themeColor="text1"/>
                <w:kern w:val="0"/>
                <w:sz w:val="28"/>
                <w:szCs w:val="28"/>
              </w:rPr>
              <w:t>由本院編研中心盤點資料(集)總量、變化量及變化比率，並說明資料集異動情形，送開放小組委員參考。</w:t>
            </w:r>
          </w:p>
        </w:tc>
        <w:tc>
          <w:tcPr>
            <w:tcW w:w="574" w:type="pct"/>
            <w:vAlign w:val="center"/>
          </w:tcPr>
          <w:p w14:paraId="7CF3AB2D" w14:textId="595F7A2D" w:rsidR="0011349C" w:rsidRPr="0096366A" w:rsidRDefault="003247F4" w:rsidP="00C96EC6">
            <w:pPr>
              <w:pStyle w:val="a4"/>
              <w:overflowPunct w:val="0"/>
              <w:spacing w:line="460" w:lineRule="exact"/>
              <w:ind w:leftChars="0" w:left="356" w:hanging="356"/>
              <w:jc w:val="center"/>
              <w:rPr>
                <w:rFonts w:ascii="標楷體" w:eastAsia="標楷體" w:hAnsi="標楷體"/>
                <w:bCs/>
                <w:kern w:val="0"/>
                <w:sz w:val="28"/>
                <w:szCs w:val="28"/>
              </w:rPr>
            </w:pPr>
            <w:r>
              <w:rPr>
                <w:rFonts w:ascii="標楷體" w:eastAsia="標楷體" w:hAnsi="標楷體" w:hint="eastAsia"/>
                <w:bCs/>
                <w:kern w:val="0"/>
                <w:sz w:val="28"/>
                <w:szCs w:val="28"/>
              </w:rPr>
              <w:t>15</w:t>
            </w:r>
          </w:p>
        </w:tc>
      </w:tr>
      <w:tr w:rsidR="0011349C" w:rsidRPr="0096366A" w14:paraId="53A2E17F" w14:textId="77777777" w:rsidTr="00C96EC6">
        <w:tc>
          <w:tcPr>
            <w:tcW w:w="517" w:type="pct"/>
            <w:vAlign w:val="center"/>
          </w:tcPr>
          <w:p w14:paraId="76400E50" w14:textId="77777777" w:rsidR="0011349C" w:rsidRPr="0096366A"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t>2</w:t>
            </w:r>
          </w:p>
        </w:tc>
        <w:tc>
          <w:tcPr>
            <w:tcW w:w="1228" w:type="pct"/>
            <w:vAlign w:val="center"/>
          </w:tcPr>
          <w:p w14:paraId="1272081B" w14:textId="77777777" w:rsidR="0011349C" w:rsidRPr="0096366A"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t>資料集品質</w:t>
            </w:r>
          </w:p>
        </w:tc>
        <w:tc>
          <w:tcPr>
            <w:tcW w:w="2681" w:type="pct"/>
            <w:vAlign w:val="center"/>
          </w:tcPr>
          <w:p w14:paraId="18E62250" w14:textId="77777777" w:rsidR="003247F4" w:rsidRPr="003247F4" w:rsidRDefault="003247F4" w:rsidP="003247F4">
            <w:pPr>
              <w:overflowPunct w:val="0"/>
              <w:snapToGrid w:val="0"/>
              <w:spacing w:line="460" w:lineRule="exact"/>
              <w:ind w:left="278" w:hanging="278"/>
              <w:jc w:val="both"/>
              <w:rPr>
                <w:rFonts w:ascii="標楷體" w:eastAsia="標楷體" w:hAnsi="標楷體"/>
                <w:bCs/>
                <w:color w:val="000000" w:themeColor="text1"/>
                <w:kern w:val="0"/>
                <w:sz w:val="28"/>
                <w:szCs w:val="28"/>
              </w:rPr>
            </w:pPr>
            <w:r w:rsidRPr="003247F4">
              <w:rPr>
                <w:rFonts w:ascii="標楷體" w:eastAsia="標楷體" w:hAnsi="標楷體" w:hint="eastAsia"/>
                <w:bCs/>
                <w:color w:val="000000" w:themeColor="text1"/>
                <w:kern w:val="0"/>
                <w:sz w:val="28"/>
                <w:szCs w:val="28"/>
              </w:rPr>
              <w:t>1.品質現況(30分)：由本院編研中心依政府資料開放平臺之品質標章機制進行檢測，並將檢測結果送開放小組委員參考，計分方式詳如附件一。</w:t>
            </w:r>
          </w:p>
          <w:p w14:paraId="4FBF0D9C" w14:textId="77777777" w:rsidR="003247F4" w:rsidRPr="003247F4" w:rsidRDefault="003247F4" w:rsidP="003247F4">
            <w:pPr>
              <w:pStyle w:val="a4"/>
              <w:overflowPunct w:val="0"/>
              <w:snapToGrid w:val="0"/>
              <w:spacing w:line="460" w:lineRule="exact"/>
              <w:ind w:leftChars="0" w:left="278" w:hanging="278"/>
              <w:jc w:val="both"/>
              <w:rPr>
                <w:rFonts w:ascii="標楷體" w:eastAsia="標楷體" w:hAnsi="標楷體"/>
                <w:bCs/>
                <w:color w:val="000000" w:themeColor="text1"/>
                <w:kern w:val="0"/>
                <w:sz w:val="28"/>
                <w:szCs w:val="28"/>
              </w:rPr>
            </w:pPr>
            <w:r w:rsidRPr="003247F4">
              <w:rPr>
                <w:rFonts w:ascii="標楷體" w:eastAsia="標楷體" w:hAnsi="標楷體" w:hint="eastAsia"/>
                <w:bCs/>
                <w:color w:val="000000" w:themeColor="text1"/>
                <w:kern w:val="0"/>
                <w:sz w:val="28"/>
                <w:szCs w:val="28"/>
              </w:rPr>
              <w:t>2.優化情形(20分)：由本院編研中心盤點前一年度與當年度之資料集品質變化情形及製作比較表，並將比較表及優化結果統計送開放小組委員參考：</w:t>
            </w:r>
          </w:p>
          <w:p w14:paraId="6F79FC80" w14:textId="77777777" w:rsidR="003247F4" w:rsidRPr="003247F4" w:rsidRDefault="003247F4" w:rsidP="003247F4">
            <w:pPr>
              <w:pStyle w:val="a4"/>
              <w:overflowPunct w:val="0"/>
              <w:snapToGrid w:val="0"/>
              <w:spacing w:line="460" w:lineRule="exact"/>
              <w:ind w:leftChars="0" w:left="698" w:hanging="420"/>
              <w:jc w:val="both"/>
              <w:rPr>
                <w:rFonts w:ascii="標楷體" w:eastAsia="標楷體" w:hAnsi="標楷體"/>
                <w:bCs/>
                <w:color w:val="000000" w:themeColor="text1"/>
                <w:kern w:val="0"/>
                <w:sz w:val="28"/>
                <w:szCs w:val="28"/>
              </w:rPr>
            </w:pPr>
            <w:r w:rsidRPr="003247F4">
              <w:rPr>
                <w:rFonts w:ascii="標楷體" w:eastAsia="標楷體" w:hAnsi="標楷體" w:hint="eastAsia"/>
                <w:bCs/>
                <w:color w:val="000000" w:themeColor="text1"/>
                <w:kern w:val="0"/>
                <w:sz w:val="28"/>
                <w:szCs w:val="28"/>
              </w:rPr>
              <w:t>(1)資料集優化至白金標章之數量、占比與提升率。</w:t>
            </w:r>
          </w:p>
          <w:p w14:paraId="35D8AABE" w14:textId="77777777" w:rsidR="003247F4" w:rsidRPr="003247F4" w:rsidRDefault="003247F4" w:rsidP="003247F4">
            <w:pPr>
              <w:pStyle w:val="a4"/>
              <w:overflowPunct w:val="0"/>
              <w:snapToGrid w:val="0"/>
              <w:spacing w:line="460" w:lineRule="exact"/>
              <w:ind w:leftChars="0" w:left="698" w:hanging="420"/>
              <w:jc w:val="both"/>
              <w:rPr>
                <w:rFonts w:ascii="標楷體" w:eastAsia="標楷體" w:hAnsi="標楷體"/>
                <w:bCs/>
                <w:color w:val="000000" w:themeColor="text1"/>
                <w:kern w:val="0"/>
                <w:sz w:val="28"/>
                <w:szCs w:val="28"/>
              </w:rPr>
            </w:pPr>
            <w:r w:rsidRPr="003247F4">
              <w:rPr>
                <w:rFonts w:ascii="標楷體" w:eastAsia="標楷體" w:hAnsi="標楷體" w:hint="eastAsia"/>
                <w:bCs/>
                <w:color w:val="000000" w:themeColor="text1"/>
                <w:kern w:val="0"/>
                <w:sz w:val="28"/>
                <w:szCs w:val="28"/>
              </w:rPr>
              <w:t>(2)資料集優化至金標章之數量、占比與提升率。</w:t>
            </w:r>
          </w:p>
          <w:p w14:paraId="541B18C2" w14:textId="77777777" w:rsidR="003247F4" w:rsidRPr="003247F4" w:rsidRDefault="003247F4" w:rsidP="003247F4">
            <w:pPr>
              <w:pStyle w:val="a4"/>
              <w:overflowPunct w:val="0"/>
              <w:snapToGrid w:val="0"/>
              <w:spacing w:line="460" w:lineRule="exact"/>
              <w:ind w:leftChars="0" w:left="698" w:hanging="420"/>
              <w:jc w:val="both"/>
              <w:rPr>
                <w:rFonts w:ascii="標楷體" w:eastAsia="標楷體" w:hAnsi="標楷體"/>
                <w:bCs/>
                <w:color w:val="000000" w:themeColor="text1"/>
                <w:kern w:val="0"/>
                <w:sz w:val="28"/>
                <w:szCs w:val="28"/>
              </w:rPr>
            </w:pPr>
            <w:r w:rsidRPr="003247F4">
              <w:rPr>
                <w:rFonts w:ascii="標楷體" w:eastAsia="標楷體" w:hAnsi="標楷體" w:hint="eastAsia"/>
                <w:bCs/>
                <w:color w:val="000000" w:themeColor="text1"/>
                <w:kern w:val="0"/>
                <w:sz w:val="28"/>
                <w:szCs w:val="28"/>
              </w:rPr>
              <w:t>(3)資料集優化至銀標章之數量、占比與提升率。</w:t>
            </w:r>
          </w:p>
          <w:p w14:paraId="2E91AD3C" w14:textId="77777777" w:rsidR="003247F4" w:rsidRPr="003247F4" w:rsidRDefault="003247F4" w:rsidP="003247F4">
            <w:pPr>
              <w:pStyle w:val="a4"/>
              <w:overflowPunct w:val="0"/>
              <w:snapToGrid w:val="0"/>
              <w:spacing w:line="460" w:lineRule="exact"/>
              <w:ind w:leftChars="0" w:left="698" w:hanging="420"/>
              <w:jc w:val="both"/>
              <w:rPr>
                <w:rFonts w:ascii="標楷體" w:eastAsia="標楷體" w:hAnsi="標楷體"/>
                <w:bCs/>
                <w:color w:val="000000" w:themeColor="text1"/>
                <w:kern w:val="0"/>
                <w:sz w:val="28"/>
                <w:szCs w:val="28"/>
              </w:rPr>
            </w:pPr>
            <w:r w:rsidRPr="003247F4">
              <w:rPr>
                <w:rFonts w:ascii="標楷體" w:eastAsia="標楷體" w:hAnsi="標楷體" w:hint="eastAsia"/>
                <w:bCs/>
                <w:color w:val="000000" w:themeColor="text1"/>
                <w:kern w:val="0"/>
                <w:sz w:val="28"/>
                <w:szCs w:val="28"/>
              </w:rPr>
              <w:t>(4)其他優化情形。</w:t>
            </w:r>
          </w:p>
          <w:p w14:paraId="3BAD9CCC" w14:textId="25AF99B6" w:rsidR="0011349C" w:rsidRPr="0096366A" w:rsidRDefault="003247F4" w:rsidP="003247F4">
            <w:pPr>
              <w:pStyle w:val="a4"/>
              <w:overflowPunct w:val="0"/>
              <w:snapToGrid w:val="0"/>
              <w:spacing w:line="460" w:lineRule="exact"/>
              <w:ind w:leftChars="0" w:left="278" w:hanging="278"/>
              <w:jc w:val="both"/>
              <w:rPr>
                <w:rFonts w:ascii="標楷體" w:eastAsia="標楷體" w:hAnsi="標楷體"/>
                <w:bCs/>
                <w:color w:val="000000" w:themeColor="text1"/>
                <w:kern w:val="0"/>
                <w:sz w:val="28"/>
                <w:szCs w:val="28"/>
              </w:rPr>
            </w:pPr>
            <w:r w:rsidRPr="003247F4">
              <w:rPr>
                <w:rFonts w:ascii="標楷體" w:eastAsia="標楷體" w:hAnsi="標楷體" w:hint="eastAsia"/>
                <w:bCs/>
                <w:color w:val="000000" w:themeColor="text1"/>
                <w:kern w:val="0"/>
                <w:sz w:val="28"/>
                <w:szCs w:val="28"/>
              </w:rPr>
              <w:t>3.本院編研中心主動註記未實質符合標章認證標準之資料集，如有其他類似情形者，得於評審時由委員提出註記之；資料集如經評定並註記為未實質符合標章認證標準，將不列入白金標章、金標章及加分項目。</w:t>
            </w:r>
          </w:p>
        </w:tc>
        <w:tc>
          <w:tcPr>
            <w:tcW w:w="574" w:type="pct"/>
            <w:vAlign w:val="center"/>
          </w:tcPr>
          <w:p w14:paraId="0E64FF4D" w14:textId="5673A9DC" w:rsidR="0011349C" w:rsidRPr="0096366A" w:rsidRDefault="003247F4" w:rsidP="00C96EC6">
            <w:pPr>
              <w:pStyle w:val="a4"/>
              <w:overflowPunct w:val="0"/>
              <w:spacing w:line="460" w:lineRule="exact"/>
              <w:ind w:leftChars="0" w:left="356" w:hanging="356"/>
              <w:jc w:val="center"/>
              <w:rPr>
                <w:rFonts w:ascii="標楷體" w:eastAsia="標楷體" w:hAnsi="標楷體"/>
                <w:bCs/>
                <w:kern w:val="0"/>
                <w:sz w:val="28"/>
                <w:szCs w:val="28"/>
              </w:rPr>
            </w:pPr>
            <w:r>
              <w:rPr>
                <w:rFonts w:ascii="標楷體" w:eastAsia="標楷體" w:hAnsi="標楷體" w:hint="eastAsia"/>
                <w:bCs/>
                <w:kern w:val="0"/>
                <w:sz w:val="28"/>
                <w:szCs w:val="28"/>
              </w:rPr>
              <w:t>5</w:t>
            </w:r>
            <w:r>
              <w:rPr>
                <w:rFonts w:ascii="標楷體" w:eastAsia="標楷體" w:hAnsi="標楷體"/>
                <w:bCs/>
                <w:kern w:val="0"/>
                <w:sz w:val="28"/>
                <w:szCs w:val="28"/>
              </w:rPr>
              <w:t>0</w:t>
            </w:r>
          </w:p>
        </w:tc>
      </w:tr>
      <w:tr w:rsidR="0011349C" w:rsidRPr="0096366A" w14:paraId="0486B96C" w14:textId="77777777" w:rsidTr="00C96EC6">
        <w:tc>
          <w:tcPr>
            <w:tcW w:w="517" w:type="pct"/>
            <w:vAlign w:val="center"/>
          </w:tcPr>
          <w:p w14:paraId="2AB1ABA4" w14:textId="77777777" w:rsidR="0011349C" w:rsidRPr="0096366A"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lastRenderedPageBreak/>
              <w:t>3</w:t>
            </w:r>
          </w:p>
        </w:tc>
        <w:tc>
          <w:tcPr>
            <w:tcW w:w="1228" w:type="pct"/>
            <w:vAlign w:val="center"/>
          </w:tcPr>
          <w:p w14:paraId="7D1278A2" w14:textId="77777777" w:rsidR="0011349C"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t>回應政策與</w:t>
            </w:r>
          </w:p>
          <w:p w14:paraId="48AAD8AF" w14:textId="77777777" w:rsidR="0011349C" w:rsidRPr="0096366A"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t>民間需求</w:t>
            </w:r>
          </w:p>
        </w:tc>
        <w:tc>
          <w:tcPr>
            <w:tcW w:w="2681" w:type="pct"/>
            <w:vAlign w:val="center"/>
          </w:tcPr>
          <w:p w14:paraId="5D4798E6" w14:textId="4C81DF1D" w:rsidR="0011349C" w:rsidRPr="0096366A" w:rsidRDefault="003247F4" w:rsidP="00C96EC6">
            <w:pPr>
              <w:overflowPunct w:val="0"/>
              <w:snapToGrid w:val="0"/>
              <w:spacing w:line="460" w:lineRule="exact"/>
              <w:jc w:val="both"/>
              <w:rPr>
                <w:rFonts w:ascii="標楷體" w:eastAsia="標楷體" w:hAnsi="標楷體"/>
                <w:bCs/>
                <w:color w:val="000000" w:themeColor="text1"/>
                <w:kern w:val="0"/>
                <w:sz w:val="28"/>
                <w:szCs w:val="28"/>
              </w:rPr>
            </w:pPr>
            <w:r w:rsidRPr="003247F4">
              <w:rPr>
                <w:rFonts w:ascii="標楷體" w:eastAsia="標楷體" w:hAnsi="標楷體" w:hint="eastAsia"/>
                <w:bCs/>
                <w:color w:val="000000" w:themeColor="text1"/>
                <w:kern w:val="0"/>
                <w:sz w:val="28"/>
                <w:szCs w:val="28"/>
              </w:rPr>
              <w:t>包括回應政策與民間需求而開放新的資料集、設置資料運用專區、因應研究團隊需求提供資料、回復民眾意見及資料集瀏覽使用情況等。</w:t>
            </w:r>
          </w:p>
        </w:tc>
        <w:tc>
          <w:tcPr>
            <w:tcW w:w="574" w:type="pct"/>
            <w:vAlign w:val="center"/>
          </w:tcPr>
          <w:p w14:paraId="1EC19BE7" w14:textId="77777777" w:rsidR="0011349C" w:rsidRPr="0096366A"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t>15</w:t>
            </w:r>
          </w:p>
        </w:tc>
      </w:tr>
      <w:tr w:rsidR="0011349C" w:rsidRPr="0096366A" w14:paraId="0AD9E943" w14:textId="77777777" w:rsidTr="00C96EC6">
        <w:tc>
          <w:tcPr>
            <w:tcW w:w="517" w:type="pct"/>
            <w:vAlign w:val="center"/>
          </w:tcPr>
          <w:p w14:paraId="3F84292B" w14:textId="77777777" w:rsidR="0011349C" w:rsidRPr="0096366A"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t>4</w:t>
            </w:r>
          </w:p>
        </w:tc>
        <w:tc>
          <w:tcPr>
            <w:tcW w:w="1228" w:type="pct"/>
            <w:vAlign w:val="center"/>
          </w:tcPr>
          <w:p w14:paraId="4C2C34A8" w14:textId="77777777" w:rsidR="0011349C" w:rsidRPr="0096366A"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t>綜合考評</w:t>
            </w:r>
          </w:p>
        </w:tc>
        <w:tc>
          <w:tcPr>
            <w:tcW w:w="2681" w:type="pct"/>
            <w:vAlign w:val="center"/>
          </w:tcPr>
          <w:p w14:paraId="56ECE94C" w14:textId="77777777" w:rsidR="0011349C" w:rsidRPr="0096366A" w:rsidRDefault="0011349C" w:rsidP="00C96EC6">
            <w:pPr>
              <w:overflowPunct w:val="0"/>
              <w:snapToGrid w:val="0"/>
              <w:spacing w:line="460" w:lineRule="exact"/>
              <w:jc w:val="both"/>
              <w:rPr>
                <w:rFonts w:ascii="標楷體" w:eastAsia="標楷體" w:hAnsi="標楷體"/>
                <w:bCs/>
                <w:color w:val="000000" w:themeColor="text1"/>
                <w:kern w:val="0"/>
                <w:sz w:val="28"/>
                <w:szCs w:val="28"/>
              </w:rPr>
            </w:pPr>
            <w:r w:rsidRPr="0096366A">
              <w:rPr>
                <w:rFonts w:ascii="標楷體" w:eastAsia="標楷體" w:hAnsi="標楷體" w:hint="eastAsia"/>
                <w:bCs/>
                <w:color w:val="000000" w:themeColor="text1"/>
                <w:kern w:val="0"/>
                <w:sz w:val="28"/>
                <w:szCs w:val="28"/>
              </w:rPr>
              <w:t>就各機關推動開放資料之難易程度、是否設專人負責、是否於機關網站設置資料開放專區、是否訂定業務領域的資料標準、是否辦理教育訓練及推廣情形等作綜合考評。</w:t>
            </w:r>
          </w:p>
        </w:tc>
        <w:tc>
          <w:tcPr>
            <w:tcW w:w="574" w:type="pct"/>
            <w:vAlign w:val="center"/>
          </w:tcPr>
          <w:p w14:paraId="59BEE166" w14:textId="77777777" w:rsidR="0011349C" w:rsidRPr="0096366A" w:rsidRDefault="0011349C" w:rsidP="00C96EC6">
            <w:pPr>
              <w:pStyle w:val="a4"/>
              <w:overflowPunct w:val="0"/>
              <w:spacing w:line="460" w:lineRule="exact"/>
              <w:ind w:leftChars="0" w:left="356" w:hanging="356"/>
              <w:jc w:val="center"/>
              <w:rPr>
                <w:rFonts w:ascii="標楷體" w:eastAsia="標楷體" w:hAnsi="標楷體"/>
                <w:bCs/>
                <w:kern w:val="0"/>
                <w:sz w:val="28"/>
                <w:szCs w:val="28"/>
              </w:rPr>
            </w:pPr>
            <w:r w:rsidRPr="0096366A">
              <w:rPr>
                <w:rFonts w:ascii="標楷體" w:eastAsia="標楷體" w:hAnsi="標楷體" w:hint="eastAsia"/>
                <w:bCs/>
                <w:kern w:val="0"/>
                <w:sz w:val="28"/>
                <w:szCs w:val="28"/>
              </w:rPr>
              <w:t>20</w:t>
            </w:r>
          </w:p>
        </w:tc>
      </w:tr>
    </w:tbl>
    <w:p w14:paraId="64D675B2" w14:textId="77777777" w:rsidR="0011349C" w:rsidRPr="0011349C" w:rsidRDefault="0011349C" w:rsidP="0011349C">
      <w:pPr>
        <w:overflowPunct w:val="0"/>
        <w:spacing w:line="460" w:lineRule="exact"/>
        <w:ind w:leftChars="300" w:left="720"/>
        <w:jc w:val="both"/>
        <w:rPr>
          <w:rFonts w:ascii="標楷體" w:eastAsia="標楷體" w:hAnsi="標楷體"/>
          <w:bCs/>
          <w:kern w:val="0"/>
          <w:sz w:val="32"/>
          <w:szCs w:val="32"/>
        </w:rPr>
      </w:pPr>
      <w:r w:rsidRPr="0011349C">
        <w:rPr>
          <w:rFonts w:ascii="標楷體" w:eastAsia="標楷體" w:hAnsi="標楷體" w:hint="eastAsia"/>
          <w:bCs/>
          <w:kern w:val="0"/>
          <w:sz w:val="32"/>
          <w:szCs w:val="32"/>
        </w:rPr>
        <w:t>備註一：各機關應提供佐證資料。</w:t>
      </w:r>
    </w:p>
    <w:p w14:paraId="126E1D03" w14:textId="77777777" w:rsidR="0011349C" w:rsidRPr="0011349C" w:rsidRDefault="0011349C" w:rsidP="0011349C">
      <w:pPr>
        <w:overflowPunct w:val="0"/>
        <w:spacing w:line="460" w:lineRule="exact"/>
        <w:ind w:leftChars="560" w:left="1984" w:hangingChars="200" w:hanging="640"/>
        <w:rPr>
          <w:rFonts w:ascii="標楷體" w:eastAsia="標楷體" w:hAnsi="標楷體"/>
          <w:bCs/>
          <w:kern w:val="0"/>
          <w:sz w:val="32"/>
          <w:szCs w:val="32"/>
        </w:rPr>
      </w:pPr>
      <w:r w:rsidRPr="0011349C">
        <w:rPr>
          <w:rFonts w:ascii="標楷體" w:eastAsia="標楷體" w:hAnsi="標楷體" w:hint="eastAsia"/>
          <w:bCs/>
          <w:kern w:val="0"/>
          <w:sz w:val="32"/>
          <w:szCs w:val="32"/>
        </w:rPr>
        <w:t>二：</w:t>
      </w:r>
      <w:r w:rsidRPr="0011349C">
        <w:rPr>
          <w:rFonts w:ascii="標楷體" w:eastAsia="標楷體" w:hAnsi="標楷體" w:hint="eastAsia"/>
          <w:bCs/>
          <w:spacing w:val="-2"/>
          <w:kern w:val="0"/>
          <w:sz w:val="32"/>
          <w:szCs w:val="32"/>
        </w:rPr>
        <w:t>本表授權本院編研中心視各年度資料開放推動情形調整之。</w:t>
      </w:r>
    </w:p>
    <w:p w14:paraId="255BAC6C" w14:textId="77777777" w:rsidR="0011349C" w:rsidRPr="0011349C" w:rsidRDefault="0011349C" w:rsidP="0011349C">
      <w:pPr>
        <w:overflowPunct w:val="0"/>
        <w:spacing w:before="240" w:line="460" w:lineRule="exact"/>
        <w:ind w:leftChars="200" w:left="480"/>
        <w:jc w:val="both"/>
        <w:rPr>
          <w:rFonts w:ascii="標楷體" w:eastAsia="標楷體" w:hAnsi="標楷體"/>
          <w:bCs/>
          <w:kern w:val="0"/>
          <w:sz w:val="32"/>
          <w:szCs w:val="32"/>
        </w:rPr>
      </w:pPr>
      <w:r w:rsidRPr="0011349C">
        <w:rPr>
          <w:rFonts w:ascii="標楷體" w:eastAsia="標楷體" w:hAnsi="標楷體" w:hint="eastAsia"/>
          <w:bCs/>
          <w:kern w:val="0"/>
          <w:sz w:val="32"/>
          <w:szCs w:val="32"/>
        </w:rPr>
        <w:t>3.評獎程序與辦理單位</w:t>
      </w:r>
    </w:p>
    <w:p w14:paraId="48F264C7" w14:textId="77777777" w:rsidR="0011349C" w:rsidRPr="0011349C" w:rsidRDefault="0011349C" w:rsidP="00F40931">
      <w:pPr>
        <w:overflowPunct w:val="0"/>
        <w:spacing w:before="240" w:line="460" w:lineRule="exact"/>
        <w:ind w:leftChars="300" w:left="2077" w:hangingChars="424" w:hanging="1357"/>
        <w:jc w:val="both"/>
        <w:rPr>
          <w:rFonts w:ascii="標楷體" w:eastAsia="標楷體" w:hAnsi="標楷體"/>
          <w:bCs/>
          <w:kern w:val="0"/>
          <w:sz w:val="32"/>
          <w:szCs w:val="32"/>
        </w:rPr>
      </w:pPr>
      <w:r w:rsidRPr="0011349C">
        <w:rPr>
          <w:rFonts w:ascii="標楷體" w:eastAsia="標楷體" w:hAnsi="標楷體" w:hint="eastAsia"/>
          <w:bCs/>
          <w:kern w:val="0"/>
          <w:sz w:val="32"/>
          <w:szCs w:val="32"/>
        </w:rPr>
        <w:t>(1)評審：由本院編研中心彙整所需資料及相關事證，送資料開放小組委員評分後，提報開放小組會議評定特優獎及優等獎各一名，若評定本獎項以減額或從缺為適當時，從其評定。</w:t>
      </w:r>
    </w:p>
    <w:p w14:paraId="16111351" w14:textId="77777777" w:rsidR="0011349C" w:rsidRPr="0011349C" w:rsidRDefault="0011349C" w:rsidP="0011349C">
      <w:pPr>
        <w:overflowPunct w:val="0"/>
        <w:spacing w:before="240" w:line="460" w:lineRule="exact"/>
        <w:ind w:leftChars="300" w:left="1200" w:hangingChars="150" w:hanging="480"/>
        <w:jc w:val="both"/>
        <w:rPr>
          <w:rFonts w:ascii="標楷體" w:eastAsia="標楷體" w:hAnsi="標楷體"/>
          <w:bCs/>
          <w:kern w:val="0"/>
          <w:sz w:val="32"/>
          <w:szCs w:val="32"/>
        </w:rPr>
      </w:pPr>
      <w:r w:rsidRPr="0011349C">
        <w:rPr>
          <w:rFonts w:ascii="標楷體" w:eastAsia="標楷體" w:hAnsi="標楷體" w:hint="eastAsia"/>
          <w:bCs/>
          <w:kern w:val="0"/>
          <w:sz w:val="32"/>
          <w:szCs w:val="32"/>
        </w:rPr>
        <w:t>(2)敘獎：由本院函請獲獎機關辦理敘獎。</w:t>
      </w:r>
    </w:p>
    <w:p w14:paraId="281EC8EB" w14:textId="77777777" w:rsidR="0011349C" w:rsidRPr="0011349C" w:rsidRDefault="0011349C" w:rsidP="0011349C">
      <w:pPr>
        <w:overflowPunct w:val="0"/>
        <w:spacing w:before="240" w:line="460" w:lineRule="exact"/>
        <w:ind w:leftChars="300" w:left="1200" w:hangingChars="150" w:hanging="480"/>
        <w:jc w:val="both"/>
        <w:rPr>
          <w:rFonts w:ascii="標楷體" w:eastAsia="標楷體" w:hAnsi="標楷體"/>
          <w:bCs/>
          <w:kern w:val="0"/>
          <w:sz w:val="32"/>
          <w:szCs w:val="32"/>
        </w:rPr>
      </w:pPr>
      <w:r w:rsidRPr="0011349C">
        <w:rPr>
          <w:rFonts w:ascii="標楷體" w:eastAsia="標楷體" w:hAnsi="標楷體" w:hint="eastAsia"/>
          <w:bCs/>
          <w:kern w:val="0"/>
          <w:sz w:val="32"/>
          <w:szCs w:val="32"/>
        </w:rPr>
        <w:t>(3)本評獎程序得由開放小組視實際評獎作業需要調整之。</w:t>
      </w:r>
    </w:p>
    <w:p w14:paraId="400EA594" w14:textId="77777777" w:rsidR="0011349C" w:rsidRPr="0011349C" w:rsidRDefault="0011349C" w:rsidP="0011349C">
      <w:pPr>
        <w:overflowPunct w:val="0"/>
        <w:spacing w:before="240" w:line="460" w:lineRule="exact"/>
        <w:ind w:leftChars="200" w:left="480"/>
        <w:jc w:val="both"/>
        <w:rPr>
          <w:rFonts w:ascii="標楷體" w:eastAsia="標楷體" w:hAnsi="標楷體"/>
          <w:bCs/>
          <w:kern w:val="0"/>
          <w:sz w:val="32"/>
          <w:szCs w:val="32"/>
        </w:rPr>
      </w:pPr>
      <w:r w:rsidRPr="0011349C">
        <w:rPr>
          <w:rFonts w:ascii="標楷體" w:eastAsia="標楷體" w:hAnsi="標楷體" w:hint="eastAsia"/>
          <w:bCs/>
          <w:kern w:val="0"/>
          <w:sz w:val="32"/>
          <w:szCs w:val="32"/>
        </w:rPr>
        <w:t>4.作業時程</w:t>
      </w:r>
    </w:p>
    <w:p w14:paraId="0CF3002D" w14:textId="77777777" w:rsidR="0011349C" w:rsidRPr="0011349C" w:rsidRDefault="0011349C" w:rsidP="0011349C">
      <w:pPr>
        <w:overflowPunct w:val="0"/>
        <w:spacing w:line="460" w:lineRule="exact"/>
        <w:ind w:leftChars="300" w:left="720" w:firstLineChars="200" w:firstLine="640"/>
        <w:jc w:val="both"/>
        <w:rPr>
          <w:rFonts w:ascii="標楷體" w:eastAsia="標楷體" w:hAnsi="標楷體"/>
          <w:bCs/>
          <w:kern w:val="0"/>
          <w:sz w:val="32"/>
          <w:szCs w:val="32"/>
        </w:rPr>
      </w:pPr>
      <w:r w:rsidRPr="0011349C">
        <w:rPr>
          <w:rFonts w:ascii="標楷體" w:eastAsia="標楷體" w:hAnsi="標楷體" w:hint="eastAsia"/>
          <w:bCs/>
          <w:kern w:val="0"/>
          <w:sz w:val="32"/>
          <w:szCs w:val="32"/>
        </w:rPr>
        <w:t>自一百十一年度開始，每年辦理。</w:t>
      </w:r>
    </w:p>
    <w:p w14:paraId="615A76EB" w14:textId="77777777" w:rsidR="0011349C" w:rsidRPr="0011349C" w:rsidRDefault="0011349C" w:rsidP="0011349C">
      <w:pPr>
        <w:overflowPunct w:val="0"/>
        <w:spacing w:before="240" w:line="460" w:lineRule="exact"/>
        <w:ind w:leftChars="200" w:left="480"/>
        <w:jc w:val="both"/>
        <w:rPr>
          <w:rFonts w:ascii="標楷體" w:eastAsia="標楷體" w:hAnsi="標楷體"/>
          <w:bCs/>
          <w:kern w:val="0"/>
          <w:sz w:val="32"/>
          <w:szCs w:val="32"/>
        </w:rPr>
      </w:pPr>
      <w:r w:rsidRPr="0011349C">
        <w:rPr>
          <w:rFonts w:ascii="標楷體" w:eastAsia="標楷體" w:hAnsi="標楷體" w:hint="eastAsia"/>
          <w:bCs/>
          <w:kern w:val="0"/>
          <w:sz w:val="32"/>
          <w:szCs w:val="32"/>
        </w:rPr>
        <w:t>5.獎項名額及獎勵額度</w:t>
      </w:r>
    </w:p>
    <w:p w14:paraId="6690F487" w14:textId="77777777" w:rsidR="0011349C" w:rsidRPr="0011349C" w:rsidRDefault="0011349C" w:rsidP="0011349C">
      <w:pPr>
        <w:overflowPunct w:val="0"/>
        <w:spacing w:before="240" w:line="460" w:lineRule="exact"/>
        <w:ind w:leftChars="300" w:left="1200" w:hangingChars="150" w:hanging="480"/>
        <w:jc w:val="both"/>
        <w:rPr>
          <w:rFonts w:ascii="標楷體" w:eastAsia="標楷體" w:hAnsi="標楷體"/>
          <w:bCs/>
          <w:kern w:val="0"/>
          <w:sz w:val="32"/>
          <w:szCs w:val="32"/>
        </w:rPr>
      </w:pPr>
      <w:r w:rsidRPr="0011349C">
        <w:rPr>
          <w:rFonts w:ascii="標楷體" w:eastAsia="標楷體" w:hAnsi="標楷體" w:hint="eastAsia"/>
          <w:bCs/>
          <w:kern w:val="0"/>
          <w:sz w:val="32"/>
          <w:szCs w:val="32"/>
        </w:rPr>
        <w:t>(1)特優獎一名：機關（含所屬）資料開放專責人員及其主管與績優承辦人員各記嘉獎一次至二次，合計以不超過嘉獎六次至十二次為原則，必要時得視資料(集)品質與數</w:t>
      </w:r>
      <w:r w:rsidRPr="0011349C">
        <w:rPr>
          <w:rFonts w:ascii="標楷體" w:eastAsia="標楷體" w:hAnsi="標楷體" w:hint="eastAsia"/>
          <w:bCs/>
          <w:kern w:val="0"/>
          <w:sz w:val="32"/>
          <w:szCs w:val="32"/>
        </w:rPr>
        <w:lastRenderedPageBreak/>
        <w:t>量酌增。</w:t>
      </w:r>
    </w:p>
    <w:p w14:paraId="6201D31B" w14:textId="77777777" w:rsidR="0011349C" w:rsidRPr="0011349C" w:rsidRDefault="0011349C" w:rsidP="0011349C">
      <w:pPr>
        <w:overflowPunct w:val="0"/>
        <w:spacing w:before="240" w:line="460" w:lineRule="exact"/>
        <w:ind w:leftChars="300" w:left="1200" w:hangingChars="150" w:hanging="480"/>
        <w:jc w:val="both"/>
        <w:rPr>
          <w:rFonts w:ascii="標楷體" w:eastAsia="標楷體" w:hAnsi="標楷體"/>
          <w:bCs/>
          <w:kern w:val="0"/>
          <w:sz w:val="32"/>
          <w:szCs w:val="32"/>
        </w:rPr>
      </w:pPr>
      <w:r w:rsidRPr="0011349C">
        <w:rPr>
          <w:rFonts w:ascii="標楷體" w:eastAsia="標楷體" w:hAnsi="標楷體" w:hint="eastAsia"/>
          <w:bCs/>
          <w:kern w:val="0"/>
          <w:sz w:val="32"/>
          <w:szCs w:val="32"/>
        </w:rPr>
        <w:t>(2)優等獎一名：機關（含所屬）資料開放專責人員及其主管與績優承辦人員各記嘉獎一次，合計以不超過嘉獎三次至六次為原則，必要時得視資料(集)品質與數量酌增。</w:t>
      </w:r>
    </w:p>
    <w:p w14:paraId="7B0C9A82" w14:textId="77777777" w:rsidR="0011349C" w:rsidRPr="0011349C" w:rsidRDefault="0011349C" w:rsidP="0011349C">
      <w:pPr>
        <w:overflowPunct w:val="0"/>
        <w:spacing w:before="240" w:line="460" w:lineRule="exact"/>
        <w:ind w:leftChars="100" w:left="240"/>
        <w:jc w:val="both"/>
        <w:rPr>
          <w:rFonts w:ascii="標楷體" w:eastAsia="標楷體" w:hAnsi="標楷體"/>
          <w:bCs/>
          <w:kern w:val="0"/>
          <w:sz w:val="32"/>
          <w:szCs w:val="32"/>
        </w:rPr>
      </w:pPr>
      <w:r w:rsidRPr="0011349C">
        <w:rPr>
          <w:rFonts w:ascii="標楷體" w:eastAsia="標楷體" w:hAnsi="標楷體" w:hint="eastAsia"/>
          <w:bCs/>
          <w:kern w:val="0"/>
          <w:sz w:val="32"/>
          <w:szCs w:val="32"/>
        </w:rPr>
        <w:t>(二)應用性質獎勵：考試院政府資料開放應用獎</w:t>
      </w:r>
    </w:p>
    <w:p w14:paraId="2D90560D" w14:textId="77777777" w:rsidR="0011349C" w:rsidRPr="0011349C" w:rsidRDefault="0011349C" w:rsidP="0011349C">
      <w:pPr>
        <w:overflowPunct w:val="0"/>
        <w:spacing w:line="460" w:lineRule="exact"/>
        <w:ind w:leftChars="350" w:left="840" w:firstLineChars="200" w:firstLine="640"/>
        <w:jc w:val="both"/>
        <w:rPr>
          <w:rFonts w:ascii="標楷體" w:eastAsia="標楷體" w:hAnsi="標楷體"/>
          <w:bCs/>
          <w:kern w:val="0"/>
          <w:sz w:val="32"/>
          <w:szCs w:val="32"/>
        </w:rPr>
      </w:pPr>
      <w:r w:rsidRPr="0011349C">
        <w:rPr>
          <w:rFonts w:ascii="標楷體" w:eastAsia="標楷體" w:hAnsi="標楷體" w:hint="eastAsia"/>
          <w:bCs/>
          <w:kern w:val="0"/>
          <w:sz w:val="32"/>
          <w:szCs w:val="32"/>
        </w:rPr>
        <w:t>為鼓勵各機關提升資料應用及分析能力，型塑公私協力應用案例，以落實循證式決策，進而提升施政品質，特設本獎項，採申請制。</w:t>
      </w:r>
    </w:p>
    <w:p w14:paraId="15420F0F" w14:textId="77777777" w:rsidR="0011349C" w:rsidRPr="0011349C" w:rsidRDefault="0011349C" w:rsidP="0011349C">
      <w:pPr>
        <w:overflowPunct w:val="0"/>
        <w:spacing w:before="240" w:line="460" w:lineRule="exact"/>
        <w:ind w:leftChars="200" w:left="480"/>
        <w:jc w:val="both"/>
        <w:rPr>
          <w:rFonts w:ascii="標楷體" w:eastAsia="標楷體" w:hAnsi="標楷體"/>
          <w:bCs/>
          <w:kern w:val="0"/>
          <w:sz w:val="32"/>
          <w:szCs w:val="32"/>
        </w:rPr>
      </w:pPr>
      <w:r w:rsidRPr="0011349C">
        <w:rPr>
          <w:rFonts w:ascii="標楷體" w:eastAsia="標楷體" w:hAnsi="標楷體" w:hint="eastAsia"/>
          <w:bCs/>
          <w:kern w:val="0"/>
          <w:sz w:val="32"/>
          <w:szCs w:val="32"/>
        </w:rPr>
        <w:t>1.評核標準及計分方式</w:t>
      </w:r>
    </w:p>
    <w:tbl>
      <w:tblPr>
        <w:tblStyle w:val="a6"/>
        <w:tblW w:w="8184" w:type="dxa"/>
        <w:tblInd w:w="862" w:type="dxa"/>
        <w:tblLook w:val="04A0" w:firstRow="1" w:lastRow="0" w:firstColumn="1" w:lastColumn="0" w:noHBand="0" w:noVBand="1"/>
      </w:tblPr>
      <w:tblGrid>
        <w:gridCol w:w="1684"/>
        <w:gridCol w:w="1558"/>
        <w:gridCol w:w="4080"/>
        <w:gridCol w:w="854"/>
        <w:gridCol w:w="8"/>
      </w:tblGrid>
      <w:tr w:rsidR="0011349C" w:rsidRPr="0096366A" w14:paraId="41192AB4" w14:textId="77777777" w:rsidTr="00C96EC6">
        <w:tc>
          <w:tcPr>
            <w:tcW w:w="1684" w:type="dxa"/>
            <w:vAlign w:val="center"/>
          </w:tcPr>
          <w:p w14:paraId="2248803A"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評核構面</w:t>
            </w:r>
          </w:p>
        </w:tc>
        <w:tc>
          <w:tcPr>
            <w:tcW w:w="1558" w:type="dxa"/>
            <w:vAlign w:val="center"/>
          </w:tcPr>
          <w:p w14:paraId="526BF960"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評核指標</w:t>
            </w:r>
          </w:p>
        </w:tc>
        <w:tc>
          <w:tcPr>
            <w:tcW w:w="4080" w:type="dxa"/>
            <w:vAlign w:val="center"/>
          </w:tcPr>
          <w:p w14:paraId="134ABC95"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評核重點</w:t>
            </w:r>
          </w:p>
        </w:tc>
        <w:tc>
          <w:tcPr>
            <w:tcW w:w="862" w:type="dxa"/>
            <w:gridSpan w:val="2"/>
            <w:vAlign w:val="center"/>
          </w:tcPr>
          <w:p w14:paraId="35315867"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配分</w:t>
            </w:r>
          </w:p>
        </w:tc>
      </w:tr>
      <w:tr w:rsidR="0011349C" w:rsidRPr="0096366A" w14:paraId="54341933" w14:textId="77777777" w:rsidTr="00C96EC6">
        <w:tc>
          <w:tcPr>
            <w:tcW w:w="1684" w:type="dxa"/>
            <w:vMerge w:val="restart"/>
            <w:vAlign w:val="center"/>
          </w:tcPr>
          <w:p w14:paraId="7D881992"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應用效益</w:t>
            </w:r>
          </w:p>
          <w:p w14:paraId="694A029A"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w:t>
            </w:r>
            <w:r w:rsidRPr="0096366A">
              <w:rPr>
                <w:rFonts w:ascii="標楷體" w:eastAsia="標楷體" w:hAnsi="標楷體" w:hint="eastAsia"/>
                <w:bCs/>
                <w:kern w:val="0"/>
                <w:sz w:val="28"/>
                <w:szCs w:val="28"/>
              </w:rPr>
              <w:t>4</w:t>
            </w:r>
            <w:r w:rsidRPr="0096366A">
              <w:rPr>
                <w:rFonts w:ascii="標楷體" w:eastAsia="標楷體" w:hAnsi="標楷體"/>
                <w:bCs/>
                <w:kern w:val="0"/>
                <w:sz w:val="28"/>
                <w:szCs w:val="28"/>
              </w:rPr>
              <w:t>0分)</w:t>
            </w:r>
          </w:p>
        </w:tc>
        <w:tc>
          <w:tcPr>
            <w:tcW w:w="1558" w:type="dxa"/>
            <w:vAlign w:val="center"/>
          </w:tcPr>
          <w:p w14:paraId="5752C4DB"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創新程度</w:t>
            </w:r>
          </w:p>
        </w:tc>
        <w:tc>
          <w:tcPr>
            <w:tcW w:w="4080" w:type="dxa"/>
          </w:tcPr>
          <w:p w14:paraId="1D56E984" w14:textId="77777777" w:rsidR="0011349C" w:rsidRPr="0096366A" w:rsidRDefault="0011349C" w:rsidP="00C96EC6">
            <w:pPr>
              <w:tabs>
                <w:tab w:val="left" w:pos="284"/>
              </w:tabs>
              <w:overflowPunct w:val="0"/>
              <w:spacing w:line="460" w:lineRule="exact"/>
              <w:jc w:val="both"/>
              <w:rPr>
                <w:rFonts w:ascii="標楷體" w:eastAsia="標楷體" w:hAnsi="標楷體"/>
                <w:bCs/>
                <w:kern w:val="0"/>
                <w:sz w:val="28"/>
                <w:szCs w:val="28"/>
              </w:rPr>
            </w:pPr>
            <w:r w:rsidRPr="0096366A">
              <w:rPr>
                <w:rFonts w:ascii="標楷體" w:eastAsia="標楷體" w:hAnsi="標楷體"/>
                <w:bCs/>
                <w:kern w:val="0"/>
                <w:sz w:val="28"/>
                <w:szCs w:val="28"/>
              </w:rPr>
              <w:t>說明資料應用創新內容、步驟及方法。</w:t>
            </w:r>
          </w:p>
        </w:tc>
        <w:tc>
          <w:tcPr>
            <w:tcW w:w="862" w:type="dxa"/>
            <w:gridSpan w:val="2"/>
            <w:vAlign w:val="center"/>
          </w:tcPr>
          <w:p w14:paraId="2A492C45"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hint="eastAsia"/>
                <w:bCs/>
                <w:kern w:val="0"/>
                <w:sz w:val="28"/>
                <w:szCs w:val="28"/>
              </w:rPr>
              <w:t>20</w:t>
            </w:r>
          </w:p>
        </w:tc>
      </w:tr>
      <w:tr w:rsidR="0011349C" w:rsidRPr="0096366A" w14:paraId="123722B0" w14:textId="77777777" w:rsidTr="00C96EC6">
        <w:tc>
          <w:tcPr>
            <w:tcW w:w="1684" w:type="dxa"/>
            <w:vMerge/>
            <w:vAlign w:val="center"/>
          </w:tcPr>
          <w:p w14:paraId="6DB793F7"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p>
        </w:tc>
        <w:tc>
          <w:tcPr>
            <w:tcW w:w="1558" w:type="dxa"/>
            <w:vAlign w:val="center"/>
          </w:tcPr>
          <w:p w14:paraId="36B44DC9"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預期效益</w:t>
            </w:r>
          </w:p>
          <w:p w14:paraId="3E18F6F4"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達成度</w:t>
            </w:r>
          </w:p>
        </w:tc>
        <w:tc>
          <w:tcPr>
            <w:tcW w:w="4080" w:type="dxa"/>
          </w:tcPr>
          <w:p w14:paraId="5EC6CDCC" w14:textId="77777777" w:rsidR="0011349C" w:rsidRPr="0096366A" w:rsidRDefault="0011349C" w:rsidP="00C96EC6">
            <w:pPr>
              <w:tabs>
                <w:tab w:val="left" w:pos="284"/>
              </w:tabs>
              <w:overflowPunct w:val="0"/>
              <w:spacing w:line="460" w:lineRule="exact"/>
              <w:jc w:val="both"/>
              <w:rPr>
                <w:rFonts w:ascii="標楷體" w:eastAsia="標楷體" w:hAnsi="標楷體"/>
                <w:bCs/>
                <w:kern w:val="0"/>
                <w:sz w:val="28"/>
                <w:szCs w:val="28"/>
              </w:rPr>
            </w:pPr>
            <w:r w:rsidRPr="0096366A">
              <w:rPr>
                <w:rFonts w:ascii="標楷體" w:eastAsia="標楷體" w:hAnsi="標楷體"/>
                <w:bCs/>
                <w:kern w:val="0"/>
                <w:sz w:val="28"/>
                <w:szCs w:val="28"/>
              </w:rPr>
              <w:t>說明應用資料所解決之機關或民眾問題、或改善機關內部流程、提升機關服務品質等。</w:t>
            </w:r>
          </w:p>
        </w:tc>
        <w:tc>
          <w:tcPr>
            <w:tcW w:w="862" w:type="dxa"/>
            <w:gridSpan w:val="2"/>
            <w:vAlign w:val="center"/>
          </w:tcPr>
          <w:p w14:paraId="0BD1FF2D"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hint="eastAsia"/>
                <w:bCs/>
                <w:kern w:val="0"/>
                <w:sz w:val="28"/>
                <w:szCs w:val="28"/>
              </w:rPr>
              <w:t>20</w:t>
            </w:r>
          </w:p>
        </w:tc>
      </w:tr>
      <w:tr w:rsidR="0011349C" w:rsidRPr="0096366A" w14:paraId="1BBD5D6E" w14:textId="77777777" w:rsidTr="00C96EC6">
        <w:tc>
          <w:tcPr>
            <w:tcW w:w="1684" w:type="dxa"/>
            <w:vMerge w:val="restart"/>
            <w:vAlign w:val="center"/>
          </w:tcPr>
          <w:p w14:paraId="683A7C66"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服務整合</w:t>
            </w:r>
          </w:p>
          <w:p w14:paraId="26C33351"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w:t>
            </w:r>
            <w:r w:rsidRPr="0096366A">
              <w:rPr>
                <w:rFonts w:ascii="標楷體" w:eastAsia="標楷體" w:hAnsi="標楷體" w:hint="eastAsia"/>
                <w:bCs/>
                <w:kern w:val="0"/>
                <w:sz w:val="28"/>
                <w:szCs w:val="28"/>
              </w:rPr>
              <w:t>3</w:t>
            </w:r>
            <w:r w:rsidRPr="0096366A">
              <w:rPr>
                <w:rFonts w:ascii="標楷體" w:eastAsia="標楷體" w:hAnsi="標楷體"/>
                <w:bCs/>
                <w:kern w:val="0"/>
                <w:sz w:val="28"/>
                <w:szCs w:val="28"/>
              </w:rPr>
              <w:t>0分)</w:t>
            </w:r>
          </w:p>
        </w:tc>
        <w:tc>
          <w:tcPr>
            <w:tcW w:w="1558" w:type="dxa"/>
            <w:vAlign w:val="center"/>
          </w:tcPr>
          <w:p w14:paraId="2994713C"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資料應用深度</w:t>
            </w:r>
          </w:p>
        </w:tc>
        <w:tc>
          <w:tcPr>
            <w:tcW w:w="4080" w:type="dxa"/>
          </w:tcPr>
          <w:p w14:paraId="3EC8D739" w14:textId="77777777" w:rsidR="0011349C" w:rsidRPr="0096366A" w:rsidRDefault="0011349C" w:rsidP="00C96EC6">
            <w:pPr>
              <w:tabs>
                <w:tab w:val="left" w:pos="284"/>
              </w:tabs>
              <w:overflowPunct w:val="0"/>
              <w:spacing w:line="460" w:lineRule="exact"/>
              <w:jc w:val="both"/>
              <w:rPr>
                <w:rFonts w:ascii="標楷體" w:eastAsia="標楷體" w:hAnsi="標楷體"/>
                <w:bCs/>
                <w:kern w:val="0"/>
                <w:sz w:val="28"/>
                <w:szCs w:val="28"/>
              </w:rPr>
            </w:pPr>
            <w:r w:rsidRPr="0096366A">
              <w:rPr>
                <w:rFonts w:ascii="標楷體" w:eastAsia="標楷體" w:hAnsi="標楷體"/>
                <w:bCs/>
                <w:kern w:val="0"/>
                <w:sz w:val="28"/>
                <w:szCs w:val="28"/>
              </w:rPr>
              <w:t>說明資料分析及應用情形，並說明開放資料、內部或外部資料混搭情形。</w:t>
            </w:r>
          </w:p>
        </w:tc>
        <w:tc>
          <w:tcPr>
            <w:tcW w:w="862" w:type="dxa"/>
            <w:gridSpan w:val="2"/>
            <w:vAlign w:val="center"/>
          </w:tcPr>
          <w:p w14:paraId="39F58A09"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1</w:t>
            </w:r>
            <w:r w:rsidRPr="0096366A">
              <w:rPr>
                <w:rFonts w:ascii="標楷體" w:eastAsia="標楷體" w:hAnsi="標楷體" w:hint="eastAsia"/>
                <w:bCs/>
                <w:kern w:val="0"/>
                <w:sz w:val="28"/>
                <w:szCs w:val="28"/>
              </w:rPr>
              <w:t>5</w:t>
            </w:r>
          </w:p>
        </w:tc>
      </w:tr>
      <w:tr w:rsidR="0011349C" w:rsidRPr="0096366A" w14:paraId="2387C72B" w14:textId="77777777" w:rsidTr="00C96EC6">
        <w:tc>
          <w:tcPr>
            <w:tcW w:w="1684" w:type="dxa"/>
            <w:vMerge/>
            <w:vAlign w:val="center"/>
          </w:tcPr>
          <w:p w14:paraId="4AB5F67D" w14:textId="77777777" w:rsidR="0011349C" w:rsidRPr="0096366A" w:rsidRDefault="0011349C" w:rsidP="00C96EC6">
            <w:pPr>
              <w:tabs>
                <w:tab w:val="left" w:pos="284"/>
              </w:tabs>
              <w:overflowPunct w:val="0"/>
              <w:spacing w:line="460" w:lineRule="exact"/>
              <w:jc w:val="both"/>
              <w:rPr>
                <w:rFonts w:ascii="標楷體" w:eastAsia="標楷體" w:hAnsi="標楷體"/>
                <w:bCs/>
                <w:kern w:val="0"/>
                <w:sz w:val="28"/>
                <w:szCs w:val="28"/>
              </w:rPr>
            </w:pPr>
          </w:p>
        </w:tc>
        <w:tc>
          <w:tcPr>
            <w:tcW w:w="1558" w:type="dxa"/>
            <w:vAlign w:val="center"/>
          </w:tcPr>
          <w:p w14:paraId="41BDF5B9" w14:textId="77777777" w:rsidR="0011349C"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公私協力程度</w:t>
            </w:r>
            <w:r w:rsidRPr="0096366A">
              <w:rPr>
                <w:rFonts w:ascii="標楷體" w:eastAsia="標楷體" w:hAnsi="標楷體" w:hint="eastAsia"/>
                <w:bCs/>
                <w:kern w:val="0"/>
                <w:sz w:val="28"/>
                <w:szCs w:val="28"/>
              </w:rPr>
              <w:t>與</w:t>
            </w:r>
          </w:p>
          <w:p w14:paraId="2F888BA8"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民間回饋</w:t>
            </w:r>
          </w:p>
        </w:tc>
        <w:tc>
          <w:tcPr>
            <w:tcW w:w="4080" w:type="dxa"/>
          </w:tcPr>
          <w:p w14:paraId="24627085" w14:textId="77777777" w:rsidR="0011349C" w:rsidRPr="0096366A" w:rsidRDefault="0011349C" w:rsidP="00FB3A64">
            <w:pPr>
              <w:pStyle w:val="a4"/>
              <w:numPr>
                <w:ilvl w:val="0"/>
                <w:numId w:val="12"/>
              </w:numPr>
              <w:overflowPunct w:val="0"/>
              <w:spacing w:line="460" w:lineRule="exact"/>
              <w:ind w:leftChars="0"/>
              <w:jc w:val="both"/>
              <w:rPr>
                <w:rFonts w:ascii="標楷體" w:eastAsia="標楷體" w:hAnsi="標楷體"/>
                <w:bCs/>
                <w:kern w:val="0"/>
                <w:sz w:val="28"/>
                <w:szCs w:val="28"/>
              </w:rPr>
            </w:pPr>
            <w:r w:rsidRPr="0096366A">
              <w:rPr>
                <w:rFonts w:ascii="標楷體" w:eastAsia="標楷體" w:hAnsi="標楷體" w:hint="eastAsia"/>
                <w:bCs/>
                <w:color w:val="000000" w:themeColor="text1"/>
                <w:kern w:val="0"/>
                <w:sz w:val="28"/>
                <w:szCs w:val="28"/>
              </w:rPr>
              <w:t>公私協力程度部分應說明與民間合作情形，並說明公私協力的合作模式。</w:t>
            </w:r>
          </w:p>
          <w:p w14:paraId="6F83528A" w14:textId="77777777" w:rsidR="0011349C" w:rsidRPr="0096366A" w:rsidRDefault="0011349C" w:rsidP="00FB3A64">
            <w:pPr>
              <w:pStyle w:val="a4"/>
              <w:numPr>
                <w:ilvl w:val="0"/>
                <w:numId w:val="12"/>
              </w:numPr>
              <w:overflowPunct w:val="0"/>
              <w:spacing w:line="460" w:lineRule="exact"/>
              <w:ind w:leftChars="0"/>
              <w:jc w:val="both"/>
              <w:rPr>
                <w:rFonts w:ascii="標楷體" w:eastAsia="標楷體" w:hAnsi="標楷體"/>
                <w:bCs/>
                <w:kern w:val="0"/>
                <w:sz w:val="28"/>
                <w:szCs w:val="28"/>
              </w:rPr>
            </w:pPr>
            <w:r w:rsidRPr="0096366A">
              <w:rPr>
                <w:rFonts w:ascii="標楷體" w:eastAsia="標楷體" w:hAnsi="標楷體"/>
                <w:bCs/>
                <w:kern w:val="0"/>
                <w:sz w:val="28"/>
                <w:szCs w:val="28"/>
              </w:rPr>
              <w:t>民間回饋</w:t>
            </w:r>
            <w:r w:rsidRPr="0096366A">
              <w:rPr>
                <w:rFonts w:ascii="標楷體" w:eastAsia="標楷體" w:hAnsi="標楷體" w:hint="eastAsia"/>
                <w:bCs/>
                <w:kern w:val="0"/>
                <w:sz w:val="28"/>
                <w:szCs w:val="28"/>
              </w:rPr>
              <w:t>係民間採用平臺、各機關官網或相關專區上之原始資料集進行重整後回饋之民間資料集。</w:t>
            </w:r>
          </w:p>
        </w:tc>
        <w:tc>
          <w:tcPr>
            <w:tcW w:w="862" w:type="dxa"/>
            <w:gridSpan w:val="2"/>
            <w:vAlign w:val="center"/>
          </w:tcPr>
          <w:p w14:paraId="1C026921"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15</w:t>
            </w:r>
          </w:p>
        </w:tc>
      </w:tr>
      <w:tr w:rsidR="0011349C" w:rsidRPr="0096366A" w14:paraId="54D88289" w14:textId="77777777" w:rsidTr="00C96EC6">
        <w:tc>
          <w:tcPr>
            <w:tcW w:w="1684" w:type="dxa"/>
            <w:vMerge w:val="restart"/>
            <w:vAlign w:val="center"/>
          </w:tcPr>
          <w:p w14:paraId="2AF08E98"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未來潛力</w:t>
            </w:r>
          </w:p>
          <w:p w14:paraId="699B2C1E"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(30分)</w:t>
            </w:r>
          </w:p>
        </w:tc>
        <w:tc>
          <w:tcPr>
            <w:tcW w:w="1558" w:type="dxa"/>
            <w:vAlign w:val="center"/>
          </w:tcPr>
          <w:p w14:paraId="00F85F02" w14:textId="77777777" w:rsidR="0011349C" w:rsidRPr="0096366A" w:rsidRDefault="0011349C" w:rsidP="00C96EC6">
            <w:pPr>
              <w:tabs>
                <w:tab w:val="left" w:pos="284"/>
              </w:tabs>
              <w:overflowPunct w:val="0"/>
              <w:spacing w:line="460" w:lineRule="exact"/>
              <w:jc w:val="center"/>
              <w:rPr>
                <w:rFonts w:ascii="標楷體" w:eastAsia="標楷體" w:hAnsi="標楷體"/>
                <w:bCs/>
                <w:spacing w:val="-26"/>
                <w:kern w:val="0"/>
                <w:sz w:val="28"/>
                <w:szCs w:val="28"/>
              </w:rPr>
            </w:pPr>
            <w:r w:rsidRPr="0096366A">
              <w:rPr>
                <w:rFonts w:ascii="標楷體" w:eastAsia="標楷體" w:hAnsi="標楷體" w:hint="eastAsia"/>
                <w:bCs/>
                <w:spacing w:val="-26"/>
                <w:kern w:val="0"/>
                <w:sz w:val="28"/>
                <w:szCs w:val="28"/>
              </w:rPr>
              <w:t>服務延續性</w:t>
            </w:r>
          </w:p>
        </w:tc>
        <w:tc>
          <w:tcPr>
            <w:tcW w:w="4080" w:type="dxa"/>
          </w:tcPr>
          <w:p w14:paraId="5361769D" w14:textId="77777777" w:rsidR="0011349C" w:rsidRPr="0096366A" w:rsidRDefault="0011349C" w:rsidP="00C96EC6">
            <w:pPr>
              <w:tabs>
                <w:tab w:val="left" w:pos="284"/>
              </w:tabs>
              <w:overflowPunct w:val="0"/>
              <w:spacing w:line="460" w:lineRule="exact"/>
              <w:jc w:val="both"/>
              <w:rPr>
                <w:rFonts w:ascii="標楷體" w:eastAsia="標楷體" w:hAnsi="標楷體"/>
                <w:bCs/>
                <w:kern w:val="0"/>
                <w:sz w:val="28"/>
                <w:szCs w:val="28"/>
              </w:rPr>
            </w:pPr>
            <w:r w:rsidRPr="0096366A">
              <w:rPr>
                <w:rFonts w:ascii="標楷體" w:eastAsia="標楷體" w:hAnsi="標楷體"/>
                <w:bCs/>
                <w:kern w:val="0"/>
                <w:sz w:val="28"/>
                <w:szCs w:val="28"/>
              </w:rPr>
              <w:t>說明將資料應用納為機關</w:t>
            </w:r>
            <w:r w:rsidRPr="0096366A">
              <w:rPr>
                <w:rFonts w:ascii="標楷體" w:eastAsia="標楷體" w:hAnsi="標楷體" w:hint="eastAsia"/>
                <w:bCs/>
                <w:kern w:val="0"/>
                <w:sz w:val="28"/>
                <w:szCs w:val="28"/>
              </w:rPr>
              <w:t>政策或</w:t>
            </w:r>
            <w:r w:rsidRPr="0096366A">
              <w:rPr>
                <w:rFonts w:ascii="標楷體" w:eastAsia="標楷體" w:hAnsi="標楷體"/>
                <w:bCs/>
                <w:kern w:val="0"/>
                <w:sz w:val="28"/>
                <w:szCs w:val="28"/>
              </w:rPr>
              <w:t>常態運作機制規劃。</w:t>
            </w:r>
          </w:p>
        </w:tc>
        <w:tc>
          <w:tcPr>
            <w:tcW w:w="862" w:type="dxa"/>
            <w:gridSpan w:val="2"/>
            <w:vAlign w:val="center"/>
          </w:tcPr>
          <w:p w14:paraId="5D10494A"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15</w:t>
            </w:r>
          </w:p>
        </w:tc>
      </w:tr>
      <w:tr w:rsidR="0011349C" w:rsidRPr="0096366A" w14:paraId="39417E47" w14:textId="77777777" w:rsidTr="00C96EC6">
        <w:tc>
          <w:tcPr>
            <w:tcW w:w="1684" w:type="dxa"/>
            <w:vMerge/>
            <w:vAlign w:val="center"/>
          </w:tcPr>
          <w:p w14:paraId="111495C4"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p>
        </w:tc>
        <w:tc>
          <w:tcPr>
            <w:tcW w:w="1558" w:type="dxa"/>
            <w:vAlign w:val="center"/>
          </w:tcPr>
          <w:p w14:paraId="5DC24B6E"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擴充應用</w:t>
            </w:r>
            <w:r w:rsidRPr="0096366A">
              <w:rPr>
                <w:rFonts w:ascii="標楷體" w:eastAsia="標楷體" w:hAnsi="標楷體"/>
                <w:bCs/>
                <w:kern w:val="0"/>
                <w:sz w:val="28"/>
                <w:szCs w:val="28"/>
              </w:rPr>
              <w:lastRenderedPageBreak/>
              <w:t>潛力</w:t>
            </w:r>
          </w:p>
        </w:tc>
        <w:tc>
          <w:tcPr>
            <w:tcW w:w="4080" w:type="dxa"/>
          </w:tcPr>
          <w:p w14:paraId="01D4A2E4" w14:textId="77777777" w:rsidR="0011349C" w:rsidRPr="0096366A" w:rsidRDefault="0011349C" w:rsidP="00C96EC6">
            <w:pPr>
              <w:tabs>
                <w:tab w:val="left" w:pos="284"/>
              </w:tabs>
              <w:overflowPunct w:val="0"/>
              <w:spacing w:line="460" w:lineRule="exact"/>
              <w:jc w:val="both"/>
              <w:rPr>
                <w:rFonts w:ascii="標楷體" w:eastAsia="標楷體" w:hAnsi="標楷體"/>
                <w:bCs/>
                <w:kern w:val="0"/>
                <w:sz w:val="28"/>
                <w:szCs w:val="28"/>
              </w:rPr>
            </w:pPr>
            <w:r w:rsidRPr="0096366A">
              <w:rPr>
                <w:rFonts w:ascii="標楷體" w:eastAsia="標楷體" w:hAnsi="標楷體"/>
                <w:bCs/>
                <w:kern w:val="0"/>
                <w:sz w:val="28"/>
                <w:szCs w:val="28"/>
              </w:rPr>
              <w:lastRenderedPageBreak/>
              <w:t>說明未來可再混搭其他資料的</w:t>
            </w:r>
            <w:r w:rsidRPr="0096366A">
              <w:rPr>
                <w:rFonts w:ascii="標楷體" w:eastAsia="標楷體" w:hAnsi="標楷體"/>
                <w:bCs/>
                <w:kern w:val="0"/>
                <w:sz w:val="28"/>
                <w:szCs w:val="28"/>
              </w:rPr>
              <w:lastRenderedPageBreak/>
              <w:t>可能性與應用情境，及擴充應用服務之規劃。</w:t>
            </w:r>
          </w:p>
        </w:tc>
        <w:tc>
          <w:tcPr>
            <w:tcW w:w="862" w:type="dxa"/>
            <w:gridSpan w:val="2"/>
            <w:vAlign w:val="center"/>
          </w:tcPr>
          <w:p w14:paraId="5579B5D5"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lastRenderedPageBreak/>
              <w:t>15</w:t>
            </w:r>
          </w:p>
        </w:tc>
      </w:tr>
      <w:tr w:rsidR="0011349C" w:rsidRPr="0096366A" w14:paraId="465061A2" w14:textId="77777777" w:rsidTr="00C96EC6">
        <w:trPr>
          <w:gridAfter w:val="1"/>
          <w:wAfter w:w="8" w:type="dxa"/>
        </w:trPr>
        <w:tc>
          <w:tcPr>
            <w:tcW w:w="7322" w:type="dxa"/>
            <w:gridSpan w:val="3"/>
            <w:vAlign w:val="center"/>
          </w:tcPr>
          <w:p w14:paraId="209648BB"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總分</w:t>
            </w:r>
          </w:p>
        </w:tc>
        <w:tc>
          <w:tcPr>
            <w:tcW w:w="854" w:type="dxa"/>
            <w:vAlign w:val="center"/>
          </w:tcPr>
          <w:p w14:paraId="4070E6BB" w14:textId="77777777" w:rsidR="0011349C" w:rsidRPr="0096366A" w:rsidRDefault="0011349C" w:rsidP="00C96EC6">
            <w:pPr>
              <w:tabs>
                <w:tab w:val="left" w:pos="284"/>
              </w:tabs>
              <w:overflowPunct w:val="0"/>
              <w:spacing w:line="460" w:lineRule="exact"/>
              <w:jc w:val="center"/>
              <w:rPr>
                <w:rFonts w:ascii="標楷體" w:eastAsia="標楷體" w:hAnsi="標楷體"/>
                <w:bCs/>
                <w:kern w:val="0"/>
                <w:sz w:val="28"/>
                <w:szCs w:val="28"/>
              </w:rPr>
            </w:pPr>
            <w:r w:rsidRPr="0096366A">
              <w:rPr>
                <w:rFonts w:ascii="標楷體" w:eastAsia="標楷體" w:hAnsi="標楷體"/>
                <w:bCs/>
                <w:kern w:val="0"/>
                <w:sz w:val="28"/>
                <w:szCs w:val="28"/>
              </w:rPr>
              <w:t>100</w:t>
            </w:r>
          </w:p>
        </w:tc>
      </w:tr>
    </w:tbl>
    <w:p w14:paraId="14BE6B8E" w14:textId="77777777" w:rsidR="0011349C" w:rsidRPr="0011349C" w:rsidRDefault="0011349C" w:rsidP="0011349C">
      <w:pPr>
        <w:overflowPunct w:val="0"/>
        <w:spacing w:before="240" w:line="460" w:lineRule="exact"/>
        <w:ind w:leftChars="200" w:left="480"/>
        <w:jc w:val="both"/>
        <w:rPr>
          <w:rFonts w:ascii="標楷體" w:eastAsia="標楷體" w:hAnsi="標楷體"/>
          <w:bCs/>
          <w:kern w:val="0"/>
          <w:sz w:val="32"/>
          <w:szCs w:val="32"/>
        </w:rPr>
      </w:pPr>
      <w:r w:rsidRPr="0011349C">
        <w:rPr>
          <w:rFonts w:ascii="標楷體" w:eastAsia="標楷體" w:hAnsi="標楷體" w:hint="eastAsia"/>
          <w:bCs/>
          <w:kern w:val="0"/>
          <w:sz w:val="32"/>
          <w:szCs w:val="32"/>
        </w:rPr>
        <w:t>2.評獎程序與辦理單位</w:t>
      </w:r>
    </w:p>
    <w:p w14:paraId="6830E90C" w14:textId="77777777" w:rsidR="0011349C" w:rsidRPr="0011349C" w:rsidRDefault="0011349C" w:rsidP="0011349C">
      <w:pPr>
        <w:overflowPunct w:val="0"/>
        <w:spacing w:line="460" w:lineRule="exact"/>
        <w:ind w:leftChars="300" w:left="720" w:firstLineChars="200" w:firstLine="640"/>
        <w:jc w:val="both"/>
        <w:rPr>
          <w:rFonts w:ascii="標楷體" w:eastAsia="標楷體" w:hAnsi="標楷體"/>
          <w:bCs/>
          <w:kern w:val="0"/>
          <w:sz w:val="32"/>
          <w:szCs w:val="32"/>
        </w:rPr>
      </w:pPr>
      <w:r w:rsidRPr="0011349C">
        <w:rPr>
          <w:rFonts w:ascii="標楷體" w:eastAsia="標楷體" w:hAnsi="標楷體" w:hint="eastAsia"/>
          <w:bCs/>
          <w:kern w:val="0"/>
          <w:sz w:val="32"/>
          <w:szCs w:val="32"/>
        </w:rPr>
        <w:t>由各機關填具申請書(如附件二)提出申請，提報資料開放小組評審，總分達八十分以上者獲獎，由本院函請獲獎機關辦理敘獎。</w:t>
      </w:r>
    </w:p>
    <w:p w14:paraId="37694F9F" w14:textId="77777777" w:rsidR="0011349C" w:rsidRPr="0011349C" w:rsidRDefault="0011349C" w:rsidP="0011349C">
      <w:pPr>
        <w:overflowPunct w:val="0"/>
        <w:spacing w:before="240" w:line="460" w:lineRule="exact"/>
        <w:ind w:leftChars="200" w:left="480"/>
        <w:jc w:val="both"/>
        <w:rPr>
          <w:rFonts w:ascii="標楷體" w:eastAsia="標楷體" w:hAnsi="標楷體"/>
          <w:bCs/>
          <w:kern w:val="0"/>
          <w:sz w:val="32"/>
          <w:szCs w:val="32"/>
        </w:rPr>
      </w:pPr>
      <w:r w:rsidRPr="0011349C">
        <w:rPr>
          <w:rFonts w:ascii="標楷體" w:eastAsia="標楷體" w:hAnsi="標楷體" w:hint="eastAsia"/>
          <w:bCs/>
          <w:kern w:val="0"/>
          <w:sz w:val="32"/>
          <w:szCs w:val="32"/>
        </w:rPr>
        <w:t>3.獎勵額度</w:t>
      </w:r>
    </w:p>
    <w:p w14:paraId="0FD70E61" w14:textId="5E204D91" w:rsidR="0011349C" w:rsidRPr="00F40931" w:rsidRDefault="0011349C" w:rsidP="00F40931">
      <w:pPr>
        <w:overflowPunct w:val="0"/>
        <w:spacing w:line="460" w:lineRule="exact"/>
        <w:ind w:leftChars="300" w:left="720" w:firstLineChars="200" w:firstLine="640"/>
        <w:jc w:val="both"/>
        <w:rPr>
          <w:rFonts w:ascii="標楷體" w:eastAsia="標楷體" w:hAnsi="標楷體"/>
          <w:bCs/>
          <w:kern w:val="0"/>
          <w:sz w:val="32"/>
          <w:szCs w:val="32"/>
        </w:rPr>
      </w:pPr>
      <w:r w:rsidRPr="0011349C">
        <w:rPr>
          <w:rFonts w:ascii="標楷體" w:eastAsia="標楷體" w:hAnsi="標楷體" w:hint="eastAsia"/>
          <w:bCs/>
          <w:kern w:val="0"/>
          <w:sz w:val="32"/>
          <w:szCs w:val="32"/>
        </w:rPr>
        <w:t>資料集提供人員、促進資料應用有功人員及其主管各記嘉獎一次至二次，合計以不超過嘉獎六次至十二次為原則。</w:t>
      </w:r>
    </w:p>
    <w:p w14:paraId="15EEA3D1" w14:textId="1B3D6BAF" w:rsidR="00E20E2E" w:rsidRPr="00AD37A7" w:rsidRDefault="00BE6878" w:rsidP="00E20E2E">
      <w:pPr>
        <w:pStyle w:val="a4"/>
        <w:numPr>
          <w:ilvl w:val="0"/>
          <w:numId w:val="5"/>
        </w:numPr>
        <w:overflowPunct w:val="0"/>
        <w:spacing w:before="240" w:line="500" w:lineRule="exact"/>
        <w:ind w:leftChars="0"/>
        <w:jc w:val="both"/>
        <w:rPr>
          <w:rFonts w:ascii="標楷體" w:eastAsia="標楷體" w:hAnsi="標楷體"/>
          <w:b/>
          <w:bCs/>
          <w:kern w:val="0"/>
          <w:sz w:val="32"/>
          <w:szCs w:val="32"/>
        </w:rPr>
      </w:pPr>
      <w:r>
        <w:rPr>
          <w:rFonts w:ascii="標楷體" w:eastAsia="標楷體" w:hAnsi="標楷體" w:hint="eastAsia"/>
          <w:b/>
          <w:bCs/>
          <w:kern w:val="0"/>
          <w:sz w:val="32"/>
          <w:szCs w:val="32"/>
        </w:rPr>
        <w:t>成果發表及宣導</w:t>
      </w:r>
    </w:p>
    <w:p w14:paraId="7F0F4324" w14:textId="5A6049B6" w:rsidR="00E20E2E" w:rsidRPr="00AD37A7" w:rsidRDefault="00E20E2E" w:rsidP="00E20E2E">
      <w:pPr>
        <w:overflowPunct w:val="0"/>
        <w:spacing w:line="500" w:lineRule="exact"/>
        <w:ind w:leftChars="250" w:left="600" w:firstLineChars="200" w:firstLine="640"/>
        <w:jc w:val="both"/>
        <w:rPr>
          <w:rFonts w:ascii="標楷體" w:eastAsia="標楷體" w:hAnsi="標楷體"/>
          <w:kern w:val="0"/>
          <w:sz w:val="32"/>
          <w:szCs w:val="32"/>
        </w:rPr>
      </w:pPr>
      <w:r>
        <w:rPr>
          <w:rFonts w:ascii="標楷體" w:eastAsia="標楷體" w:hAnsi="標楷體" w:hint="eastAsia"/>
          <w:kern w:val="0"/>
          <w:sz w:val="32"/>
          <w:szCs w:val="32"/>
        </w:rPr>
        <w:t>優質獎及應用獎</w:t>
      </w:r>
      <w:r w:rsidRPr="00AD37A7">
        <w:rPr>
          <w:rFonts w:ascii="標楷體" w:eastAsia="標楷體" w:hAnsi="標楷體" w:hint="eastAsia"/>
          <w:kern w:val="0"/>
          <w:sz w:val="32"/>
          <w:szCs w:val="32"/>
        </w:rPr>
        <w:t>獲獎機關</w:t>
      </w:r>
      <w:r>
        <w:rPr>
          <w:rFonts w:ascii="標楷體" w:eastAsia="標楷體" w:hAnsi="標楷體" w:hint="eastAsia"/>
          <w:kern w:val="0"/>
          <w:sz w:val="32"/>
          <w:szCs w:val="32"/>
        </w:rPr>
        <w:t>，</w:t>
      </w:r>
      <w:r w:rsidRPr="00AD37A7">
        <w:rPr>
          <w:rFonts w:ascii="標楷體" w:eastAsia="標楷體" w:hAnsi="標楷體" w:hint="eastAsia"/>
          <w:kern w:val="0"/>
          <w:sz w:val="32"/>
          <w:szCs w:val="32"/>
        </w:rPr>
        <w:t>應配合參與本院辦理之資料開放成果發表及宣導活動。</w:t>
      </w:r>
    </w:p>
    <w:p w14:paraId="69829414" w14:textId="0D8C98B6" w:rsidR="00651427" w:rsidRPr="00D67B32" w:rsidRDefault="00651427" w:rsidP="00D67B32">
      <w:pPr>
        <w:rPr>
          <w:bCs/>
        </w:rPr>
      </w:pPr>
    </w:p>
    <w:p w14:paraId="5D4ABEAD" w14:textId="72B50C1A" w:rsidR="00651427" w:rsidRPr="00D67B32" w:rsidRDefault="00651427" w:rsidP="00D67B32">
      <w:pPr>
        <w:widowControl/>
        <w:overflowPunct w:val="0"/>
        <w:jc w:val="both"/>
        <w:rPr>
          <w:rFonts w:ascii="標楷體" w:eastAsia="標楷體" w:hAnsi="標楷體"/>
          <w:kern w:val="0"/>
          <w:sz w:val="32"/>
          <w:szCs w:val="32"/>
        </w:rPr>
      </w:pPr>
      <w:r w:rsidRPr="00D67B32">
        <w:rPr>
          <w:rFonts w:ascii="標楷體" w:eastAsia="標楷體" w:hAnsi="標楷體"/>
          <w:kern w:val="0"/>
          <w:sz w:val="32"/>
          <w:szCs w:val="32"/>
        </w:rPr>
        <w:br w:type="page"/>
      </w:r>
    </w:p>
    <w:p w14:paraId="75EA995A" w14:textId="4D1EE730" w:rsidR="00A532E8" w:rsidRDefault="00A532E8" w:rsidP="008808CC">
      <w:pPr>
        <w:pStyle w:val="a4"/>
        <w:overflowPunct w:val="0"/>
        <w:spacing w:line="500" w:lineRule="exact"/>
        <w:ind w:leftChars="490" w:left="1176"/>
        <w:jc w:val="both"/>
        <w:rPr>
          <w:rFonts w:ascii="標楷體" w:eastAsia="標楷體" w:hAnsi="標楷體"/>
          <w:kern w:val="0"/>
          <w:sz w:val="32"/>
          <w:szCs w:val="32"/>
        </w:rPr>
      </w:pPr>
      <w:r w:rsidRPr="00CD6891">
        <w:rPr>
          <w:b/>
          <w:bCs/>
          <w:noProof/>
          <w:color w:val="000000"/>
          <w:sz w:val="48"/>
          <w:szCs w:val="48"/>
        </w:rPr>
        <w:lastRenderedPageBreak/>
        <mc:AlternateContent>
          <mc:Choice Requires="wps">
            <w:drawing>
              <wp:anchor distT="45720" distB="45720" distL="114300" distR="114300" simplePos="0" relativeHeight="251661312" behindDoc="1" locked="0" layoutInCell="1" allowOverlap="1" wp14:anchorId="3597EDA9" wp14:editId="1F8E48E5">
                <wp:simplePos x="0" y="0"/>
                <wp:positionH relativeFrom="margin">
                  <wp:align>right</wp:align>
                </wp:positionH>
                <wp:positionV relativeFrom="paragraph">
                  <wp:posOffset>7620</wp:posOffset>
                </wp:positionV>
                <wp:extent cx="767080" cy="254000"/>
                <wp:effectExtent l="0" t="0" r="13970" b="12700"/>
                <wp:wrapTight wrapText="bothSides">
                  <wp:wrapPolygon edited="0">
                    <wp:start x="0" y="0"/>
                    <wp:lineTo x="0" y="21060"/>
                    <wp:lineTo x="21457" y="21060"/>
                    <wp:lineTo x="21457" y="0"/>
                    <wp:lineTo x="0"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54442"/>
                        </a:xfrm>
                        <a:prstGeom prst="rect">
                          <a:avLst/>
                        </a:prstGeom>
                        <a:solidFill>
                          <a:srgbClr val="FFFFFF"/>
                        </a:solidFill>
                        <a:ln w="9525">
                          <a:solidFill>
                            <a:schemeClr val="bg1"/>
                          </a:solidFill>
                          <a:miter lim="800000"/>
                          <a:headEnd/>
                          <a:tailEnd/>
                        </a:ln>
                      </wps:spPr>
                      <wps:txbx>
                        <w:txbxContent>
                          <w:p w14:paraId="4409F593" w14:textId="77777777" w:rsidR="00A532E8" w:rsidRPr="00AD63BE" w:rsidRDefault="00A532E8" w:rsidP="00375081">
                            <w:pPr>
                              <w:spacing w:line="240" w:lineRule="exact"/>
                              <w:rPr>
                                <w:rFonts w:ascii="標楷體" w:eastAsia="標楷體" w:hAnsi="標楷體"/>
                                <w:sz w:val="28"/>
                                <w:szCs w:val="28"/>
                              </w:rPr>
                            </w:pPr>
                            <w:r w:rsidRPr="00AD63BE">
                              <w:rPr>
                                <w:rFonts w:ascii="標楷體" w:eastAsia="標楷體" w:hAnsi="標楷體" w:hint="eastAsia"/>
                                <w:sz w:val="28"/>
                                <w:szCs w:val="28"/>
                              </w:rPr>
                              <w:t>附件</w:t>
                            </w:r>
                            <w:r>
                              <w:rPr>
                                <w:rFonts w:ascii="標楷體" w:eastAsia="標楷體" w:hAnsi="標楷體" w:hint="eastAsia"/>
                                <w:sz w:val="28"/>
                                <w:szCs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7EDA9" id="_x0000_t202" coordsize="21600,21600" o:spt="202" path="m,l,21600r21600,l21600,xe">
                <v:stroke joinstyle="miter"/>
                <v:path gradientshapeok="t" o:connecttype="rect"/>
              </v:shapetype>
              <v:shape id="文字方塊 2" o:spid="_x0000_s1026" type="#_x0000_t202" style="position:absolute;left:0;text-align:left;margin-left:9.2pt;margin-top:.6pt;width:60.4pt;height:20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" strokecolor="white [3212]">
                <v:textbox>
                  <w:txbxContent>
                    <w:p w14:paraId="4409F593" w14:textId="77777777" w:rsidR="00A532E8" w:rsidRPr="00AD63BE" w:rsidRDefault="00A532E8" w:rsidP="00375081">
                      <w:pPr>
                        <w:spacing w:line="240" w:lineRule="exact"/>
                        <w:rPr>
                          <w:rFonts w:ascii="標楷體" w:eastAsia="標楷體" w:hAnsi="標楷體"/>
                          <w:sz w:val="28"/>
                          <w:szCs w:val="28"/>
                        </w:rPr>
                      </w:pPr>
                      <w:r w:rsidRPr="00AD63BE">
                        <w:rPr>
                          <w:rFonts w:ascii="標楷體" w:eastAsia="標楷體" w:hAnsi="標楷體" w:hint="eastAsia"/>
                          <w:sz w:val="28"/>
                          <w:szCs w:val="28"/>
                        </w:rPr>
                        <w:t>附件</w:t>
                      </w:r>
                      <w:r>
                        <w:rPr>
                          <w:rFonts w:ascii="標楷體" w:eastAsia="標楷體" w:hAnsi="標楷體" w:hint="eastAsia"/>
                          <w:sz w:val="28"/>
                          <w:szCs w:val="28"/>
                        </w:rPr>
                        <w:t>一</w:t>
                      </w:r>
                    </w:p>
                  </w:txbxContent>
                </v:textbox>
                <w10:wrap type="tight" anchorx="margin"/>
              </v:shape>
            </w:pict>
          </mc:Fallback>
        </mc:AlternateContent>
      </w:r>
    </w:p>
    <w:p w14:paraId="4339E592" w14:textId="73561D75" w:rsidR="00C745E6" w:rsidRPr="00A943E1" w:rsidRDefault="00C745E6" w:rsidP="00A943E1">
      <w:pPr>
        <w:pStyle w:val="a4"/>
        <w:overflowPunct w:val="0"/>
        <w:spacing w:after="240" w:line="500" w:lineRule="exact"/>
        <w:ind w:leftChars="490" w:left="1176"/>
        <w:jc w:val="center"/>
        <w:rPr>
          <w:rFonts w:ascii="標楷體" w:eastAsia="標楷體" w:hAnsi="標楷體"/>
          <w:b/>
          <w:bCs/>
          <w:kern w:val="0"/>
          <w:sz w:val="36"/>
          <w:szCs w:val="36"/>
        </w:rPr>
      </w:pPr>
      <w:r w:rsidRPr="00A943E1">
        <w:rPr>
          <w:rFonts w:ascii="標楷體" w:eastAsia="標楷體" w:hAnsi="標楷體" w:hint="eastAsia"/>
          <w:b/>
          <w:bCs/>
          <w:kern w:val="0"/>
          <w:sz w:val="36"/>
          <w:szCs w:val="36"/>
        </w:rPr>
        <w:t>資料集品質</w:t>
      </w:r>
      <w:r w:rsidR="00E41720">
        <w:rPr>
          <w:rFonts w:ascii="標楷體" w:eastAsia="標楷體" w:hAnsi="標楷體" w:hint="eastAsia"/>
          <w:b/>
          <w:bCs/>
          <w:kern w:val="0"/>
          <w:sz w:val="36"/>
          <w:szCs w:val="36"/>
        </w:rPr>
        <w:t>標章</w:t>
      </w:r>
      <w:r w:rsidRPr="00A943E1">
        <w:rPr>
          <w:rFonts w:ascii="標楷體" w:eastAsia="標楷體" w:hAnsi="標楷體" w:hint="eastAsia"/>
          <w:b/>
          <w:bCs/>
          <w:kern w:val="0"/>
          <w:sz w:val="36"/>
          <w:szCs w:val="36"/>
        </w:rPr>
        <w:t>認證標準及分數計算方式</w:t>
      </w:r>
    </w:p>
    <w:p w14:paraId="0FA9681E" w14:textId="365121B6" w:rsidR="008808CC" w:rsidRPr="007E5BC3" w:rsidRDefault="008808CC" w:rsidP="001A3D97">
      <w:pPr>
        <w:overflowPunct w:val="0"/>
        <w:spacing w:line="500" w:lineRule="exact"/>
        <w:ind w:firstLineChars="200" w:firstLine="640"/>
        <w:jc w:val="both"/>
      </w:pPr>
      <w:r w:rsidRPr="00A943E1">
        <w:rPr>
          <w:rFonts w:ascii="標楷體" w:eastAsia="標楷體" w:hAnsi="標楷體" w:hint="eastAsia"/>
          <w:kern w:val="0"/>
          <w:sz w:val="32"/>
          <w:szCs w:val="32"/>
        </w:rPr>
        <w:t>參採政府資料開放平臺之品質標章機制，對各機關開放於該平臺之資料集進行品質檢測，依據其完整性及領域資料標準，分別授予白金標章、金標章、銀標章或銅標章。</w:t>
      </w:r>
    </w:p>
    <w:p w14:paraId="09AC8677" w14:textId="11FA5F5E" w:rsidR="00994105" w:rsidRDefault="00994105" w:rsidP="00B564FD">
      <w:pPr>
        <w:pStyle w:val="a4"/>
        <w:numPr>
          <w:ilvl w:val="2"/>
          <w:numId w:val="5"/>
        </w:numPr>
        <w:overflowPunct w:val="0"/>
        <w:spacing w:before="240" w:line="500" w:lineRule="exact"/>
        <w:ind w:leftChars="0"/>
        <w:jc w:val="both"/>
        <w:rPr>
          <w:rFonts w:ascii="標楷體" w:eastAsia="標楷體" w:hAnsi="標楷體"/>
          <w:kern w:val="0"/>
          <w:sz w:val="32"/>
          <w:szCs w:val="32"/>
        </w:rPr>
      </w:pPr>
      <w:r>
        <w:rPr>
          <w:rFonts w:ascii="標楷體" w:eastAsia="標楷體" w:hAnsi="標楷體" w:hint="eastAsia"/>
          <w:kern w:val="0"/>
          <w:sz w:val="32"/>
          <w:szCs w:val="32"/>
        </w:rPr>
        <w:t>認證標準</w:t>
      </w:r>
    </w:p>
    <w:tbl>
      <w:tblPr>
        <w:tblStyle w:val="a6"/>
        <w:tblW w:w="8222" w:type="dxa"/>
        <w:tblInd w:w="562" w:type="dxa"/>
        <w:tblLayout w:type="fixed"/>
        <w:tblLook w:val="04A0" w:firstRow="1" w:lastRow="0" w:firstColumn="1" w:lastColumn="0" w:noHBand="0" w:noVBand="1"/>
      </w:tblPr>
      <w:tblGrid>
        <w:gridCol w:w="567"/>
        <w:gridCol w:w="1843"/>
        <w:gridCol w:w="3969"/>
        <w:gridCol w:w="460"/>
        <w:gridCol w:w="461"/>
        <w:gridCol w:w="461"/>
        <w:gridCol w:w="461"/>
      </w:tblGrid>
      <w:tr w:rsidR="00A04E91" w14:paraId="15B6BC6B" w14:textId="77777777" w:rsidTr="001A3D97">
        <w:tc>
          <w:tcPr>
            <w:tcW w:w="567" w:type="dxa"/>
            <w:vAlign w:val="center"/>
          </w:tcPr>
          <w:p w14:paraId="4392F1A0"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Pr>
                <w:rFonts w:ascii="標楷體" w:eastAsia="標楷體" w:hAnsi="標楷體" w:hint="eastAsia"/>
                <w:kern w:val="0"/>
                <w:sz w:val="32"/>
                <w:szCs w:val="32"/>
              </w:rPr>
              <w:t>評核構面</w:t>
            </w:r>
          </w:p>
        </w:tc>
        <w:tc>
          <w:tcPr>
            <w:tcW w:w="1843" w:type="dxa"/>
            <w:vAlign w:val="center"/>
          </w:tcPr>
          <w:p w14:paraId="774C66CE"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Pr>
                <w:rFonts w:ascii="標楷體" w:eastAsia="標楷體" w:hAnsi="標楷體" w:hint="eastAsia"/>
                <w:kern w:val="0"/>
                <w:sz w:val="32"/>
                <w:szCs w:val="32"/>
              </w:rPr>
              <w:t>評核指標</w:t>
            </w:r>
          </w:p>
        </w:tc>
        <w:tc>
          <w:tcPr>
            <w:tcW w:w="3969" w:type="dxa"/>
            <w:vAlign w:val="center"/>
          </w:tcPr>
          <w:p w14:paraId="4910EB51"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Pr>
                <w:rFonts w:ascii="標楷體" w:eastAsia="標楷體" w:hAnsi="標楷體" w:hint="eastAsia"/>
                <w:kern w:val="0"/>
                <w:sz w:val="32"/>
                <w:szCs w:val="32"/>
              </w:rPr>
              <w:t>評核重點</w:t>
            </w:r>
          </w:p>
        </w:tc>
        <w:tc>
          <w:tcPr>
            <w:tcW w:w="460" w:type="dxa"/>
            <w:vAlign w:val="center"/>
          </w:tcPr>
          <w:p w14:paraId="29204D48"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Pr>
                <w:rFonts w:ascii="標楷體" w:eastAsia="標楷體" w:hAnsi="標楷體" w:hint="eastAsia"/>
                <w:kern w:val="0"/>
                <w:sz w:val="32"/>
                <w:szCs w:val="32"/>
              </w:rPr>
              <w:t>銅標章</w:t>
            </w:r>
          </w:p>
        </w:tc>
        <w:tc>
          <w:tcPr>
            <w:tcW w:w="461" w:type="dxa"/>
            <w:vAlign w:val="center"/>
          </w:tcPr>
          <w:p w14:paraId="5741883D"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Pr>
                <w:rFonts w:ascii="標楷體" w:eastAsia="標楷體" w:hAnsi="標楷體" w:hint="eastAsia"/>
                <w:kern w:val="0"/>
                <w:sz w:val="32"/>
                <w:szCs w:val="32"/>
              </w:rPr>
              <w:t>銀標章</w:t>
            </w:r>
          </w:p>
        </w:tc>
        <w:tc>
          <w:tcPr>
            <w:tcW w:w="461" w:type="dxa"/>
            <w:vAlign w:val="center"/>
          </w:tcPr>
          <w:p w14:paraId="08147823"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Pr>
                <w:rFonts w:ascii="標楷體" w:eastAsia="標楷體" w:hAnsi="標楷體" w:hint="eastAsia"/>
                <w:kern w:val="0"/>
                <w:sz w:val="32"/>
                <w:szCs w:val="32"/>
              </w:rPr>
              <w:t>金標章</w:t>
            </w:r>
          </w:p>
        </w:tc>
        <w:tc>
          <w:tcPr>
            <w:tcW w:w="461" w:type="dxa"/>
            <w:vAlign w:val="center"/>
          </w:tcPr>
          <w:p w14:paraId="14518061"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Pr>
                <w:rFonts w:ascii="標楷體" w:eastAsia="標楷體" w:hAnsi="標楷體" w:hint="eastAsia"/>
                <w:kern w:val="0"/>
                <w:sz w:val="32"/>
                <w:szCs w:val="32"/>
              </w:rPr>
              <w:t>白金標章</w:t>
            </w:r>
          </w:p>
        </w:tc>
      </w:tr>
      <w:tr w:rsidR="00A04E91" w14:paraId="285D4453" w14:textId="77777777" w:rsidTr="001A3D97">
        <w:tc>
          <w:tcPr>
            <w:tcW w:w="567" w:type="dxa"/>
            <w:vMerge w:val="restart"/>
            <w:vAlign w:val="center"/>
          </w:tcPr>
          <w:p w14:paraId="1E670AAC"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Pr>
                <w:rFonts w:ascii="標楷體" w:eastAsia="標楷體" w:hAnsi="標楷體" w:hint="eastAsia"/>
                <w:kern w:val="0"/>
                <w:sz w:val="32"/>
                <w:szCs w:val="32"/>
              </w:rPr>
              <w:t>可取得性</w:t>
            </w:r>
          </w:p>
        </w:tc>
        <w:tc>
          <w:tcPr>
            <w:tcW w:w="1843" w:type="dxa"/>
            <w:vAlign w:val="center"/>
          </w:tcPr>
          <w:p w14:paraId="72112BFE" w14:textId="77777777" w:rsidR="00994105" w:rsidRDefault="00994105" w:rsidP="00D55379">
            <w:pPr>
              <w:pStyle w:val="a4"/>
              <w:overflowPunct w:val="0"/>
              <w:spacing w:line="0" w:lineRule="atLeast"/>
              <w:ind w:leftChars="0" w:left="0"/>
              <w:rPr>
                <w:rFonts w:ascii="標楷體" w:eastAsia="標楷體" w:hAnsi="標楷體"/>
                <w:kern w:val="0"/>
                <w:sz w:val="32"/>
                <w:szCs w:val="32"/>
              </w:rPr>
            </w:pPr>
            <w:r w:rsidRPr="00A00228">
              <w:rPr>
                <w:rFonts w:ascii="標楷體" w:eastAsia="標楷體" w:hAnsi="標楷體" w:hint="eastAsia"/>
                <w:kern w:val="0"/>
                <w:sz w:val="32"/>
                <w:szCs w:val="32"/>
              </w:rPr>
              <w:t>資料資源連結有效性</w:t>
            </w:r>
          </w:p>
        </w:tc>
        <w:tc>
          <w:tcPr>
            <w:tcW w:w="3969" w:type="dxa"/>
            <w:vAlign w:val="center"/>
          </w:tcPr>
          <w:p w14:paraId="17D1A25E" w14:textId="77777777" w:rsidR="00994105" w:rsidRDefault="00994105" w:rsidP="00D55379">
            <w:pPr>
              <w:pStyle w:val="a4"/>
              <w:overflowPunct w:val="0"/>
              <w:spacing w:line="0" w:lineRule="atLeast"/>
              <w:ind w:leftChars="0" w:left="0"/>
              <w:jc w:val="both"/>
              <w:rPr>
                <w:rFonts w:ascii="標楷體" w:eastAsia="標楷體" w:hAnsi="標楷體"/>
                <w:kern w:val="0"/>
                <w:sz w:val="32"/>
                <w:szCs w:val="32"/>
              </w:rPr>
            </w:pPr>
            <w:r w:rsidRPr="00A00228">
              <w:rPr>
                <w:rFonts w:ascii="標楷體" w:eastAsia="標楷體" w:hAnsi="標楷體" w:hint="eastAsia"/>
                <w:kern w:val="0"/>
                <w:sz w:val="32"/>
                <w:szCs w:val="32"/>
              </w:rPr>
              <w:t>資料資源連結可回傳連結成功狀態。</w:t>
            </w:r>
          </w:p>
        </w:tc>
        <w:tc>
          <w:tcPr>
            <w:tcW w:w="460" w:type="dxa"/>
            <w:vAlign w:val="center"/>
          </w:tcPr>
          <w:p w14:paraId="604EA39F"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DA6DAE">
              <w:rPr>
                <w:rFonts w:ascii="標楷體" w:eastAsia="標楷體" w:hAnsi="標楷體"/>
                <w:kern w:val="0"/>
                <w:sz w:val="44"/>
                <w:szCs w:val="44"/>
              </w:rPr>
              <w:sym w:font="Wingdings" w:char="F0FC"/>
            </w:r>
          </w:p>
        </w:tc>
        <w:tc>
          <w:tcPr>
            <w:tcW w:w="461" w:type="dxa"/>
            <w:vAlign w:val="center"/>
          </w:tcPr>
          <w:p w14:paraId="43E802CC"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c>
          <w:tcPr>
            <w:tcW w:w="461" w:type="dxa"/>
            <w:vAlign w:val="center"/>
          </w:tcPr>
          <w:p w14:paraId="36C02580"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c>
          <w:tcPr>
            <w:tcW w:w="461" w:type="dxa"/>
            <w:vAlign w:val="center"/>
          </w:tcPr>
          <w:p w14:paraId="046B6DBB"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r>
      <w:tr w:rsidR="00A04E91" w14:paraId="0AD8BEAD" w14:textId="77777777" w:rsidTr="001A3D97">
        <w:tc>
          <w:tcPr>
            <w:tcW w:w="567" w:type="dxa"/>
            <w:vMerge/>
            <w:vAlign w:val="center"/>
          </w:tcPr>
          <w:p w14:paraId="1D12F022"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p>
        </w:tc>
        <w:tc>
          <w:tcPr>
            <w:tcW w:w="1843" w:type="dxa"/>
            <w:vAlign w:val="center"/>
          </w:tcPr>
          <w:p w14:paraId="7A9302DE" w14:textId="77777777" w:rsidR="00994105" w:rsidRDefault="00994105" w:rsidP="00D55379">
            <w:pPr>
              <w:pStyle w:val="a4"/>
              <w:overflowPunct w:val="0"/>
              <w:spacing w:line="0" w:lineRule="atLeast"/>
              <w:ind w:leftChars="0" w:left="0"/>
              <w:rPr>
                <w:rFonts w:ascii="標楷體" w:eastAsia="標楷體" w:hAnsi="標楷體"/>
                <w:kern w:val="0"/>
                <w:sz w:val="32"/>
                <w:szCs w:val="32"/>
              </w:rPr>
            </w:pPr>
            <w:r>
              <w:rPr>
                <w:rFonts w:ascii="標楷體" w:eastAsia="標楷體" w:hAnsi="標楷體" w:hint="eastAsia"/>
                <w:kern w:val="0"/>
                <w:sz w:val="32"/>
                <w:szCs w:val="32"/>
              </w:rPr>
              <w:t>資料資源可直接下載</w:t>
            </w:r>
          </w:p>
        </w:tc>
        <w:tc>
          <w:tcPr>
            <w:tcW w:w="3969" w:type="dxa"/>
            <w:vAlign w:val="center"/>
          </w:tcPr>
          <w:p w14:paraId="74E1F987" w14:textId="77777777" w:rsidR="00994105" w:rsidRDefault="00994105" w:rsidP="00D55379">
            <w:pPr>
              <w:pStyle w:val="a4"/>
              <w:overflowPunct w:val="0"/>
              <w:spacing w:line="0" w:lineRule="atLeast"/>
              <w:ind w:leftChars="0" w:left="0"/>
              <w:jc w:val="both"/>
              <w:rPr>
                <w:rFonts w:ascii="標楷體" w:eastAsia="標楷體" w:hAnsi="標楷體"/>
                <w:kern w:val="0"/>
                <w:sz w:val="32"/>
                <w:szCs w:val="32"/>
              </w:rPr>
            </w:pPr>
            <w:r>
              <w:rPr>
                <w:rFonts w:ascii="標楷體" w:eastAsia="標楷體" w:hAnsi="標楷體" w:hint="eastAsia"/>
                <w:kern w:val="0"/>
                <w:sz w:val="32"/>
                <w:szCs w:val="32"/>
              </w:rPr>
              <w:t>使用者能透過連結直接獲取資料，無需透過登入或任何額外的操作形式。</w:t>
            </w:r>
          </w:p>
        </w:tc>
        <w:tc>
          <w:tcPr>
            <w:tcW w:w="460" w:type="dxa"/>
            <w:vAlign w:val="center"/>
          </w:tcPr>
          <w:p w14:paraId="1C2EAC0D"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c>
          <w:tcPr>
            <w:tcW w:w="461" w:type="dxa"/>
            <w:vAlign w:val="center"/>
          </w:tcPr>
          <w:p w14:paraId="458B39E0"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c>
          <w:tcPr>
            <w:tcW w:w="461" w:type="dxa"/>
            <w:vAlign w:val="center"/>
          </w:tcPr>
          <w:p w14:paraId="09382756"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c>
          <w:tcPr>
            <w:tcW w:w="461" w:type="dxa"/>
            <w:vAlign w:val="center"/>
          </w:tcPr>
          <w:p w14:paraId="4A49C35E"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r>
      <w:tr w:rsidR="00A04E91" w14:paraId="11783815" w14:textId="77777777" w:rsidTr="001A3D97">
        <w:tc>
          <w:tcPr>
            <w:tcW w:w="567" w:type="dxa"/>
            <w:vAlign w:val="center"/>
          </w:tcPr>
          <w:p w14:paraId="381797F0"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Pr>
                <w:rFonts w:ascii="標楷體" w:eastAsia="標楷體" w:hAnsi="標楷體" w:hint="eastAsia"/>
                <w:kern w:val="0"/>
                <w:sz w:val="32"/>
                <w:szCs w:val="32"/>
              </w:rPr>
              <w:t>機器可讀性</w:t>
            </w:r>
          </w:p>
        </w:tc>
        <w:tc>
          <w:tcPr>
            <w:tcW w:w="1843" w:type="dxa"/>
            <w:vAlign w:val="center"/>
          </w:tcPr>
          <w:p w14:paraId="7C2CA8A7" w14:textId="77777777" w:rsidR="00994105" w:rsidRDefault="00994105" w:rsidP="00D55379">
            <w:pPr>
              <w:pStyle w:val="a4"/>
              <w:overflowPunct w:val="0"/>
              <w:spacing w:line="0" w:lineRule="atLeast"/>
              <w:ind w:leftChars="0" w:left="0"/>
              <w:rPr>
                <w:rFonts w:ascii="標楷體" w:eastAsia="標楷體" w:hAnsi="標楷體"/>
                <w:kern w:val="0"/>
                <w:sz w:val="32"/>
                <w:szCs w:val="32"/>
              </w:rPr>
            </w:pPr>
            <w:r>
              <w:rPr>
                <w:rFonts w:ascii="標楷體" w:eastAsia="標楷體" w:hAnsi="標楷體" w:hint="eastAsia"/>
                <w:kern w:val="0"/>
                <w:sz w:val="32"/>
                <w:szCs w:val="32"/>
              </w:rPr>
              <w:t>屬結構化、開放格式之資料</w:t>
            </w:r>
          </w:p>
        </w:tc>
        <w:tc>
          <w:tcPr>
            <w:tcW w:w="3969" w:type="dxa"/>
          </w:tcPr>
          <w:p w14:paraId="584F0009" w14:textId="77777777" w:rsidR="00994105" w:rsidRDefault="00994105" w:rsidP="00D55379">
            <w:pPr>
              <w:pStyle w:val="a4"/>
              <w:numPr>
                <w:ilvl w:val="0"/>
                <w:numId w:val="7"/>
              </w:numPr>
              <w:overflowPunct w:val="0"/>
              <w:spacing w:line="0" w:lineRule="atLeast"/>
              <w:ind w:leftChars="0"/>
              <w:jc w:val="both"/>
              <w:rPr>
                <w:rFonts w:ascii="標楷體" w:eastAsia="標楷體" w:hAnsi="標楷體"/>
                <w:kern w:val="0"/>
                <w:sz w:val="32"/>
                <w:szCs w:val="32"/>
              </w:rPr>
            </w:pPr>
            <w:r>
              <w:rPr>
                <w:rFonts w:ascii="標楷體" w:eastAsia="標楷體" w:hAnsi="標楷體" w:hint="eastAsia"/>
                <w:kern w:val="0"/>
                <w:sz w:val="32"/>
                <w:szCs w:val="32"/>
              </w:rPr>
              <w:t>固定欄位結構化資料：單一列標題的表格式資料，每筆資料的欄位數均相同，且無合併儲存格、無公式、無空行、無小計等。</w:t>
            </w:r>
          </w:p>
          <w:p w14:paraId="69C12C5D" w14:textId="77777777" w:rsidR="00994105" w:rsidRDefault="00994105" w:rsidP="00D55379">
            <w:pPr>
              <w:pStyle w:val="a4"/>
              <w:numPr>
                <w:ilvl w:val="0"/>
                <w:numId w:val="7"/>
              </w:numPr>
              <w:overflowPunct w:val="0"/>
              <w:spacing w:line="0" w:lineRule="atLeast"/>
              <w:ind w:leftChars="0"/>
              <w:jc w:val="both"/>
              <w:rPr>
                <w:rFonts w:ascii="標楷體" w:eastAsia="標楷體" w:hAnsi="標楷體"/>
                <w:kern w:val="0"/>
                <w:sz w:val="32"/>
                <w:szCs w:val="32"/>
              </w:rPr>
            </w:pPr>
            <w:r>
              <w:rPr>
                <w:rFonts w:ascii="標楷體" w:eastAsia="標楷體" w:hAnsi="標楷體" w:hint="eastAsia"/>
                <w:kern w:val="0"/>
                <w:sz w:val="32"/>
                <w:szCs w:val="32"/>
              </w:rPr>
              <w:t>非固定欄位結構化資料：符合W</w:t>
            </w:r>
            <w:r>
              <w:rPr>
                <w:rFonts w:ascii="標楷體" w:eastAsia="標楷體" w:hAnsi="標楷體"/>
                <w:kern w:val="0"/>
                <w:sz w:val="32"/>
                <w:szCs w:val="32"/>
              </w:rPr>
              <w:t>3C</w:t>
            </w:r>
            <w:r>
              <w:rPr>
                <w:rFonts w:ascii="標楷體" w:eastAsia="標楷體" w:hAnsi="標楷體" w:hint="eastAsia"/>
                <w:kern w:val="0"/>
                <w:sz w:val="32"/>
                <w:szCs w:val="32"/>
              </w:rPr>
              <w:t>之X</w:t>
            </w:r>
            <w:r>
              <w:rPr>
                <w:rFonts w:ascii="標楷體" w:eastAsia="標楷體" w:hAnsi="標楷體"/>
                <w:kern w:val="0"/>
                <w:sz w:val="32"/>
                <w:szCs w:val="32"/>
              </w:rPr>
              <w:t>ML</w:t>
            </w:r>
            <w:r>
              <w:rPr>
                <w:rFonts w:ascii="標楷體" w:eastAsia="標楷體" w:hAnsi="標楷體" w:hint="eastAsia"/>
                <w:kern w:val="0"/>
                <w:sz w:val="32"/>
                <w:szCs w:val="32"/>
              </w:rPr>
              <w:t>、J</w:t>
            </w:r>
            <w:r>
              <w:rPr>
                <w:rFonts w:ascii="標楷體" w:eastAsia="標楷體" w:hAnsi="標楷體"/>
                <w:kern w:val="0"/>
                <w:sz w:val="32"/>
                <w:szCs w:val="32"/>
              </w:rPr>
              <w:t>SON</w:t>
            </w:r>
            <w:r>
              <w:rPr>
                <w:rFonts w:ascii="標楷體" w:eastAsia="標楷體" w:hAnsi="標楷體" w:hint="eastAsia"/>
                <w:kern w:val="0"/>
                <w:sz w:val="32"/>
                <w:szCs w:val="32"/>
              </w:rPr>
              <w:t>等結構化資料。</w:t>
            </w:r>
          </w:p>
          <w:p w14:paraId="32CFD67C" w14:textId="77777777" w:rsidR="00994105" w:rsidRPr="00B575B7" w:rsidRDefault="00994105" w:rsidP="00D55379">
            <w:pPr>
              <w:pStyle w:val="a4"/>
              <w:numPr>
                <w:ilvl w:val="0"/>
                <w:numId w:val="7"/>
              </w:numPr>
              <w:overflowPunct w:val="0"/>
              <w:spacing w:line="0" w:lineRule="atLeast"/>
              <w:ind w:leftChars="0"/>
              <w:jc w:val="both"/>
              <w:rPr>
                <w:rFonts w:ascii="標楷體" w:eastAsia="標楷體" w:hAnsi="標楷體"/>
                <w:kern w:val="0"/>
                <w:sz w:val="32"/>
                <w:szCs w:val="32"/>
              </w:rPr>
            </w:pPr>
            <w:r>
              <w:rPr>
                <w:rFonts w:ascii="標楷體" w:eastAsia="標楷體" w:hAnsi="標楷體" w:hint="eastAsia"/>
                <w:kern w:val="0"/>
                <w:sz w:val="32"/>
                <w:szCs w:val="32"/>
              </w:rPr>
              <w:t>其餘均為非結構化資料。</w:t>
            </w:r>
          </w:p>
        </w:tc>
        <w:tc>
          <w:tcPr>
            <w:tcW w:w="460" w:type="dxa"/>
            <w:vAlign w:val="center"/>
          </w:tcPr>
          <w:p w14:paraId="6A641FB2" w14:textId="43E93CB6" w:rsidR="00994105" w:rsidRDefault="00994105" w:rsidP="00D55379">
            <w:pPr>
              <w:pStyle w:val="a4"/>
              <w:overflowPunct w:val="0"/>
              <w:spacing w:line="0" w:lineRule="atLeast"/>
              <w:ind w:leftChars="0" w:left="0"/>
              <w:jc w:val="center"/>
              <w:rPr>
                <w:rFonts w:ascii="標楷體" w:eastAsia="標楷體" w:hAnsi="標楷體"/>
                <w:kern w:val="0"/>
                <w:sz w:val="32"/>
                <w:szCs w:val="32"/>
              </w:rPr>
            </w:pPr>
          </w:p>
        </w:tc>
        <w:tc>
          <w:tcPr>
            <w:tcW w:w="461" w:type="dxa"/>
            <w:vAlign w:val="center"/>
          </w:tcPr>
          <w:p w14:paraId="1E20E8E7"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c>
          <w:tcPr>
            <w:tcW w:w="461" w:type="dxa"/>
            <w:vAlign w:val="center"/>
          </w:tcPr>
          <w:p w14:paraId="6F939558"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c>
          <w:tcPr>
            <w:tcW w:w="461" w:type="dxa"/>
            <w:vAlign w:val="center"/>
          </w:tcPr>
          <w:p w14:paraId="0BD5505A"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r>
      <w:tr w:rsidR="00A04E91" w14:paraId="3CEB4DEE" w14:textId="77777777" w:rsidTr="001A3D97">
        <w:tc>
          <w:tcPr>
            <w:tcW w:w="567" w:type="dxa"/>
            <w:vMerge w:val="restart"/>
            <w:vAlign w:val="center"/>
          </w:tcPr>
          <w:p w14:paraId="4C0C379F"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Pr>
                <w:rFonts w:ascii="標楷體" w:eastAsia="標楷體" w:hAnsi="標楷體" w:hint="eastAsia"/>
                <w:kern w:val="0"/>
                <w:sz w:val="32"/>
                <w:szCs w:val="32"/>
              </w:rPr>
              <w:t>易理解性</w:t>
            </w:r>
          </w:p>
        </w:tc>
        <w:tc>
          <w:tcPr>
            <w:tcW w:w="1843" w:type="dxa"/>
          </w:tcPr>
          <w:p w14:paraId="0BBEBF3C" w14:textId="77777777" w:rsidR="00994105" w:rsidRDefault="00994105" w:rsidP="00D55379">
            <w:pPr>
              <w:pStyle w:val="a4"/>
              <w:overflowPunct w:val="0"/>
              <w:spacing w:line="0" w:lineRule="atLeast"/>
              <w:ind w:leftChars="0" w:left="0"/>
              <w:rPr>
                <w:rFonts w:ascii="標楷體" w:eastAsia="標楷體" w:hAnsi="標楷體"/>
                <w:kern w:val="0"/>
                <w:sz w:val="32"/>
                <w:szCs w:val="32"/>
              </w:rPr>
            </w:pPr>
            <w:r>
              <w:rPr>
                <w:rFonts w:ascii="標楷體" w:eastAsia="標楷體" w:hAnsi="標楷體" w:hint="eastAsia"/>
                <w:kern w:val="0"/>
                <w:sz w:val="32"/>
                <w:szCs w:val="32"/>
              </w:rPr>
              <w:t>依「資料集詮釋資料標準規範」提供詮釋資料</w:t>
            </w:r>
          </w:p>
        </w:tc>
        <w:tc>
          <w:tcPr>
            <w:tcW w:w="3969" w:type="dxa"/>
            <w:vAlign w:val="center"/>
          </w:tcPr>
          <w:p w14:paraId="2FBB0690" w14:textId="77777777" w:rsidR="00994105" w:rsidRDefault="00994105" w:rsidP="001A3D97">
            <w:pPr>
              <w:pStyle w:val="a4"/>
              <w:overflowPunct w:val="0"/>
              <w:spacing w:line="0" w:lineRule="atLeast"/>
              <w:ind w:leftChars="0" w:left="0"/>
              <w:jc w:val="both"/>
              <w:rPr>
                <w:rFonts w:ascii="標楷體" w:eastAsia="標楷體" w:hAnsi="標楷體"/>
                <w:kern w:val="0"/>
                <w:sz w:val="32"/>
                <w:szCs w:val="32"/>
              </w:rPr>
            </w:pPr>
            <w:r>
              <w:rPr>
                <w:rFonts w:ascii="標楷體" w:eastAsia="標楷體" w:hAnsi="標楷體" w:hint="eastAsia"/>
                <w:kern w:val="0"/>
                <w:sz w:val="32"/>
                <w:szCs w:val="32"/>
              </w:rPr>
              <w:t>資料集詮釋資料「編碼格式」、「主要欄位說明」與所提供之資料資源欄位相符。</w:t>
            </w:r>
          </w:p>
        </w:tc>
        <w:tc>
          <w:tcPr>
            <w:tcW w:w="460" w:type="dxa"/>
            <w:vAlign w:val="center"/>
          </w:tcPr>
          <w:p w14:paraId="34F78AC5"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p>
        </w:tc>
        <w:tc>
          <w:tcPr>
            <w:tcW w:w="461" w:type="dxa"/>
            <w:vAlign w:val="center"/>
          </w:tcPr>
          <w:p w14:paraId="179373D9"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p>
        </w:tc>
        <w:tc>
          <w:tcPr>
            <w:tcW w:w="461" w:type="dxa"/>
            <w:vAlign w:val="center"/>
          </w:tcPr>
          <w:p w14:paraId="0ECFFBDD"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c>
          <w:tcPr>
            <w:tcW w:w="461" w:type="dxa"/>
            <w:vAlign w:val="center"/>
          </w:tcPr>
          <w:p w14:paraId="5BFE1152"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r>
      <w:tr w:rsidR="00A04E91" w14:paraId="63F900F4" w14:textId="77777777" w:rsidTr="001A3D97">
        <w:tc>
          <w:tcPr>
            <w:tcW w:w="567" w:type="dxa"/>
            <w:vMerge/>
            <w:vAlign w:val="center"/>
          </w:tcPr>
          <w:p w14:paraId="2A1986D1"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p>
        </w:tc>
        <w:tc>
          <w:tcPr>
            <w:tcW w:w="1843" w:type="dxa"/>
            <w:vAlign w:val="center"/>
          </w:tcPr>
          <w:p w14:paraId="3055D439" w14:textId="77777777" w:rsidR="00994105" w:rsidRDefault="00994105" w:rsidP="00D55379">
            <w:pPr>
              <w:pStyle w:val="a4"/>
              <w:overflowPunct w:val="0"/>
              <w:spacing w:line="0" w:lineRule="atLeast"/>
              <w:ind w:leftChars="0" w:left="0"/>
              <w:rPr>
                <w:rFonts w:ascii="標楷體" w:eastAsia="標楷體" w:hAnsi="標楷體"/>
                <w:kern w:val="0"/>
                <w:sz w:val="32"/>
                <w:szCs w:val="32"/>
              </w:rPr>
            </w:pPr>
            <w:r>
              <w:rPr>
                <w:rFonts w:ascii="標楷體" w:eastAsia="標楷體" w:hAnsi="標楷體" w:hint="eastAsia"/>
                <w:kern w:val="0"/>
                <w:sz w:val="32"/>
                <w:szCs w:val="32"/>
              </w:rPr>
              <w:t>資料即時性</w:t>
            </w:r>
          </w:p>
        </w:tc>
        <w:tc>
          <w:tcPr>
            <w:tcW w:w="3969" w:type="dxa"/>
            <w:vAlign w:val="center"/>
          </w:tcPr>
          <w:p w14:paraId="67BB4F71" w14:textId="77777777" w:rsidR="00994105" w:rsidRDefault="00994105" w:rsidP="001A3D97">
            <w:pPr>
              <w:pStyle w:val="a4"/>
              <w:overflowPunct w:val="0"/>
              <w:spacing w:line="0" w:lineRule="atLeast"/>
              <w:ind w:leftChars="0" w:left="0"/>
              <w:jc w:val="both"/>
              <w:rPr>
                <w:rFonts w:ascii="標楷體" w:eastAsia="標楷體" w:hAnsi="標楷體"/>
                <w:kern w:val="0"/>
                <w:sz w:val="32"/>
                <w:szCs w:val="32"/>
              </w:rPr>
            </w:pPr>
            <w:r>
              <w:rPr>
                <w:rFonts w:ascii="標楷體" w:eastAsia="標楷體" w:hAnsi="標楷體" w:hint="eastAsia"/>
                <w:kern w:val="0"/>
                <w:sz w:val="32"/>
                <w:szCs w:val="32"/>
              </w:rPr>
              <w:t>資料集須依所填之「更新頻率」即時更新。</w:t>
            </w:r>
          </w:p>
        </w:tc>
        <w:tc>
          <w:tcPr>
            <w:tcW w:w="460" w:type="dxa"/>
            <w:vAlign w:val="center"/>
          </w:tcPr>
          <w:p w14:paraId="17E39FDC"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p>
        </w:tc>
        <w:tc>
          <w:tcPr>
            <w:tcW w:w="461" w:type="dxa"/>
            <w:vAlign w:val="center"/>
          </w:tcPr>
          <w:p w14:paraId="12786D6D"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p>
        </w:tc>
        <w:tc>
          <w:tcPr>
            <w:tcW w:w="461" w:type="dxa"/>
            <w:vAlign w:val="center"/>
          </w:tcPr>
          <w:p w14:paraId="310AB269"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c>
          <w:tcPr>
            <w:tcW w:w="461" w:type="dxa"/>
            <w:vAlign w:val="center"/>
          </w:tcPr>
          <w:p w14:paraId="026B2863"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r>
      <w:tr w:rsidR="00A04E91" w14:paraId="4C027247" w14:textId="77777777" w:rsidTr="001A3D97">
        <w:tc>
          <w:tcPr>
            <w:tcW w:w="567" w:type="dxa"/>
            <w:vAlign w:val="center"/>
          </w:tcPr>
          <w:p w14:paraId="62A68A2D"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Pr>
                <w:rFonts w:ascii="標楷體" w:eastAsia="標楷體" w:hAnsi="標楷體" w:hint="eastAsia"/>
                <w:kern w:val="0"/>
                <w:sz w:val="32"/>
                <w:szCs w:val="32"/>
              </w:rPr>
              <w:lastRenderedPageBreak/>
              <w:t>符合資料標準</w:t>
            </w:r>
          </w:p>
        </w:tc>
        <w:tc>
          <w:tcPr>
            <w:tcW w:w="1843" w:type="dxa"/>
            <w:vAlign w:val="center"/>
          </w:tcPr>
          <w:p w14:paraId="2A0FC2A8" w14:textId="77777777" w:rsidR="00994105" w:rsidRDefault="00994105" w:rsidP="00D55379">
            <w:pPr>
              <w:pStyle w:val="a4"/>
              <w:overflowPunct w:val="0"/>
              <w:spacing w:line="0" w:lineRule="atLeast"/>
              <w:ind w:leftChars="0" w:left="0"/>
              <w:rPr>
                <w:rFonts w:ascii="標楷體" w:eastAsia="標楷體" w:hAnsi="標楷體"/>
                <w:kern w:val="0"/>
                <w:sz w:val="32"/>
                <w:szCs w:val="32"/>
              </w:rPr>
            </w:pPr>
            <w:r>
              <w:rPr>
                <w:rFonts w:ascii="標楷體" w:eastAsia="標楷體" w:hAnsi="標楷體" w:hint="eastAsia"/>
                <w:kern w:val="0"/>
                <w:sz w:val="32"/>
                <w:szCs w:val="32"/>
              </w:rPr>
              <w:t>資料內容符合資料標準</w:t>
            </w:r>
          </w:p>
        </w:tc>
        <w:tc>
          <w:tcPr>
            <w:tcW w:w="3969" w:type="dxa"/>
            <w:vAlign w:val="center"/>
          </w:tcPr>
          <w:p w14:paraId="39AB667F" w14:textId="5737AF85" w:rsidR="00994105" w:rsidRDefault="00994105" w:rsidP="001A3D97">
            <w:pPr>
              <w:pStyle w:val="a4"/>
              <w:overflowPunct w:val="0"/>
              <w:spacing w:line="0" w:lineRule="atLeast"/>
              <w:ind w:leftChars="0" w:left="0"/>
              <w:jc w:val="both"/>
              <w:rPr>
                <w:rFonts w:ascii="標楷體" w:eastAsia="標楷體" w:hAnsi="標楷體"/>
                <w:kern w:val="0"/>
                <w:sz w:val="32"/>
                <w:szCs w:val="32"/>
              </w:rPr>
            </w:pPr>
            <w:r>
              <w:rPr>
                <w:rFonts w:ascii="標楷體" w:eastAsia="標楷體" w:hAnsi="標楷體" w:hint="eastAsia"/>
                <w:kern w:val="0"/>
                <w:sz w:val="32"/>
                <w:szCs w:val="32"/>
              </w:rPr>
              <w:t>超過20</w:t>
            </w:r>
            <w:r>
              <w:rPr>
                <w:rFonts w:ascii="標楷體" w:eastAsia="標楷體" w:hAnsi="標楷體"/>
                <w:kern w:val="0"/>
                <w:sz w:val="32"/>
                <w:szCs w:val="32"/>
              </w:rPr>
              <w:t>%</w:t>
            </w:r>
            <w:r>
              <w:rPr>
                <w:rFonts w:ascii="標楷體" w:eastAsia="標楷體" w:hAnsi="標楷體" w:hint="eastAsia"/>
                <w:kern w:val="0"/>
                <w:sz w:val="32"/>
                <w:szCs w:val="32"/>
              </w:rPr>
              <w:t>之欄位符合政府資料標準平臺訂定之資料標準。</w:t>
            </w:r>
          </w:p>
        </w:tc>
        <w:tc>
          <w:tcPr>
            <w:tcW w:w="460" w:type="dxa"/>
            <w:vAlign w:val="center"/>
          </w:tcPr>
          <w:p w14:paraId="7F87EA34"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p>
        </w:tc>
        <w:tc>
          <w:tcPr>
            <w:tcW w:w="461" w:type="dxa"/>
            <w:vAlign w:val="center"/>
          </w:tcPr>
          <w:p w14:paraId="1C30C574"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p>
        </w:tc>
        <w:tc>
          <w:tcPr>
            <w:tcW w:w="461" w:type="dxa"/>
            <w:vAlign w:val="center"/>
          </w:tcPr>
          <w:p w14:paraId="1613B0A9"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p>
        </w:tc>
        <w:tc>
          <w:tcPr>
            <w:tcW w:w="461" w:type="dxa"/>
            <w:vAlign w:val="center"/>
          </w:tcPr>
          <w:p w14:paraId="0C6CFBBE" w14:textId="77777777" w:rsidR="00994105" w:rsidRDefault="00994105" w:rsidP="00D55379">
            <w:pPr>
              <w:pStyle w:val="a4"/>
              <w:overflowPunct w:val="0"/>
              <w:spacing w:line="0" w:lineRule="atLeast"/>
              <w:ind w:leftChars="0" w:left="0"/>
              <w:jc w:val="center"/>
              <w:rPr>
                <w:rFonts w:ascii="標楷體" w:eastAsia="標楷體" w:hAnsi="標楷體"/>
                <w:kern w:val="0"/>
                <w:sz w:val="32"/>
                <w:szCs w:val="32"/>
              </w:rPr>
            </w:pPr>
            <w:r w:rsidRPr="00A11EE8">
              <w:rPr>
                <w:rFonts w:ascii="標楷體" w:eastAsia="標楷體" w:hAnsi="標楷體" w:hint="eastAsia"/>
                <w:kern w:val="0"/>
                <w:sz w:val="44"/>
                <w:szCs w:val="44"/>
              </w:rPr>
              <w:sym w:font="Wingdings" w:char="F0FC"/>
            </w:r>
          </w:p>
        </w:tc>
      </w:tr>
    </w:tbl>
    <w:p w14:paraId="7B6F21C6" w14:textId="132B92D4" w:rsidR="008808CC" w:rsidRPr="00D67B32" w:rsidRDefault="008808CC" w:rsidP="00B564FD">
      <w:pPr>
        <w:pStyle w:val="a4"/>
        <w:numPr>
          <w:ilvl w:val="2"/>
          <w:numId w:val="5"/>
        </w:numPr>
        <w:overflowPunct w:val="0"/>
        <w:spacing w:before="240" w:line="500" w:lineRule="exact"/>
        <w:ind w:leftChars="0"/>
        <w:jc w:val="both"/>
        <w:rPr>
          <w:rFonts w:ascii="標楷體" w:eastAsia="標楷體" w:hAnsi="標楷體"/>
          <w:kern w:val="0"/>
          <w:sz w:val="32"/>
          <w:szCs w:val="32"/>
        </w:rPr>
      </w:pPr>
      <w:r w:rsidRPr="00D67B32">
        <w:rPr>
          <w:rFonts w:ascii="標楷體" w:eastAsia="標楷體" w:hAnsi="標楷體" w:hint="eastAsia"/>
          <w:kern w:val="0"/>
          <w:sz w:val="32"/>
          <w:szCs w:val="32"/>
        </w:rPr>
        <w:t>計分方式</w:t>
      </w:r>
    </w:p>
    <w:p w14:paraId="716FAA41" w14:textId="77777777" w:rsidR="008808CC" w:rsidRPr="00D67B32" w:rsidRDefault="008808CC" w:rsidP="00B564FD">
      <w:pPr>
        <w:pStyle w:val="a4"/>
        <w:overflowPunct w:val="0"/>
        <w:spacing w:line="500" w:lineRule="exact"/>
        <w:ind w:leftChars="0" w:left="726" w:firstLineChars="200" w:firstLine="640"/>
        <w:jc w:val="both"/>
        <w:rPr>
          <w:rFonts w:ascii="標楷體" w:eastAsia="標楷體" w:hAnsi="標楷體"/>
          <w:kern w:val="0"/>
          <w:sz w:val="32"/>
          <w:szCs w:val="32"/>
        </w:rPr>
      </w:pPr>
      <w:r>
        <w:rPr>
          <w:rFonts w:ascii="標楷體" w:eastAsia="標楷體" w:hAnsi="標楷體" w:hint="eastAsia"/>
          <w:kern w:val="0"/>
          <w:sz w:val="32"/>
          <w:szCs w:val="32"/>
        </w:rPr>
        <w:t>以政府資料開放平臺之檢測結果，</w:t>
      </w:r>
      <w:r w:rsidRPr="00D67B32">
        <w:rPr>
          <w:rFonts w:ascii="標楷體" w:eastAsia="標楷體" w:hAnsi="標楷體" w:hint="eastAsia"/>
          <w:kern w:val="0"/>
          <w:sz w:val="32"/>
          <w:szCs w:val="32"/>
        </w:rPr>
        <w:t>依以下方式計算總分，以總分進行評</w:t>
      </w:r>
      <w:r>
        <w:rPr>
          <w:rFonts w:ascii="標楷體" w:eastAsia="標楷體" w:hAnsi="標楷體" w:hint="eastAsia"/>
          <w:kern w:val="0"/>
          <w:sz w:val="32"/>
          <w:szCs w:val="32"/>
        </w:rPr>
        <w:t>核</w:t>
      </w:r>
      <w:r w:rsidRPr="00D67B32">
        <w:rPr>
          <w:rFonts w:ascii="標楷體" w:eastAsia="標楷體" w:hAnsi="標楷體" w:hint="eastAsia"/>
          <w:kern w:val="0"/>
          <w:sz w:val="32"/>
          <w:szCs w:val="32"/>
        </w:rPr>
        <w:t>：</w:t>
      </w:r>
    </w:p>
    <w:p w14:paraId="63E36D3B" w14:textId="42DF50C0" w:rsidR="008808CC" w:rsidRPr="00050D7F" w:rsidRDefault="008808CC" w:rsidP="008808CC">
      <w:pPr>
        <w:overflowPunct w:val="0"/>
        <w:spacing w:before="240" w:after="240"/>
        <w:jc w:val="both"/>
        <w:rPr>
          <w:rFonts w:ascii="標楷體" w:eastAsia="標楷體" w:hAnsi="標楷體"/>
          <w:kern w:val="0"/>
          <w:sz w:val="32"/>
          <w:szCs w:val="32"/>
        </w:rPr>
      </w:pPr>
      <m:oMathPara>
        <m:oMathParaPr>
          <m:jc m:val="center"/>
        </m:oMathParaPr>
        <m:oMath>
          <m:r>
            <m:rPr>
              <m:sty m:val="p"/>
            </m:rPr>
            <w:rPr>
              <w:rFonts w:ascii="Cambria Math" w:eastAsia="標楷體" w:hAnsi="Cambria Math" w:hint="eastAsia"/>
              <w:kern w:val="0"/>
              <w:sz w:val="32"/>
              <w:szCs w:val="32"/>
            </w:rPr>
            <m:t>總分</m:t>
          </m:r>
          <m:r>
            <m:rPr>
              <m:sty m:val="p"/>
            </m:rPr>
            <w:rPr>
              <w:rFonts w:ascii="Cambria Math" w:eastAsia="標楷體" w:hAnsi="Cambria Math"/>
              <w:kern w:val="0"/>
              <w:sz w:val="32"/>
              <w:szCs w:val="32"/>
            </w:rPr>
            <m:t>=</m:t>
          </m:r>
          <m:f>
            <m:fPr>
              <m:ctrlPr>
                <w:rPr>
                  <w:rFonts w:ascii="Cambria Math" w:eastAsia="標楷體" w:hAnsi="Cambria Math"/>
                  <w:i/>
                  <w:kern w:val="0"/>
                  <w:sz w:val="32"/>
                  <w:szCs w:val="32"/>
                </w:rPr>
              </m:ctrlPr>
            </m:fPr>
            <m:num>
              <m:r>
                <w:rPr>
                  <w:rFonts w:ascii="Cambria Math" w:eastAsia="標楷體" w:hAnsi="Cambria Math"/>
                  <w:kern w:val="0"/>
                  <w:sz w:val="32"/>
                  <w:szCs w:val="32"/>
                </w:rPr>
                <m:t>G×1+S×0.6+B×0.3</m:t>
              </m:r>
              <m:ctrlPr>
                <w:rPr>
                  <w:rFonts w:ascii="Cambria Math" w:eastAsia="標楷體" w:hAnsi="Cambria Math" w:hint="eastAsia"/>
                  <w:i/>
                  <w:kern w:val="0"/>
                  <w:sz w:val="32"/>
                  <w:szCs w:val="32"/>
                </w:rPr>
              </m:ctrlPr>
            </m:num>
            <m:den>
              <m:r>
                <w:rPr>
                  <w:rFonts w:ascii="Cambria Math" w:eastAsia="標楷體" w:hAnsi="Cambria Math"/>
                  <w:kern w:val="0"/>
                  <w:sz w:val="32"/>
                  <w:szCs w:val="32"/>
                </w:rPr>
                <m:t>T</m:t>
              </m:r>
            </m:den>
          </m:f>
          <m:r>
            <w:rPr>
              <w:rFonts w:ascii="Cambria Math" w:eastAsia="標楷體" w:hAnsi="Cambria Math"/>
              <w:kern w:val="0"/>
              <w:sz w:val="32"/>
              <w:szCs w:val="32"/>
            </w:rPr>
            <m:t>×</m:t>
          </m:r>
          <m:r>
            <w:rPr>
              <w:rFonts w:ascii="Cambria Math" w:eastAsia="標楷體" w:hAnsi="Cambria Math" w:hint="eastAsia"/>
              <w:kern w:val="0"/>
              <w:sz w:val="32"/>
              <w:szCs w:val="32"/>
            </w:rPr>
            <m:t>25</m:t>
          </m:r>
        </m:oMath>
      </m:oMathPara>
    </w:p>
    <w:p w14:paraId="7CAF0AEE" w14:textId="487EB261" w:rsidR="00050D7F" w:rsidRDefault="008808CC" w:rsidP="008808CC">
      <w:pPr>
        <w:pStyle w:val="a4"/>
        <w:overflowPunct w:val="0"/>
        <w:spacing w:line="500" w:lineRule="exact"/>
        <w:ind w:leftChars="0" w:left="1280" w:firstLine="160"/>
        <w:jc w:val="both"/>
        <w:rPr>
          <w:rFonts w:ascii="標楷體" w:eastAsia="標楷體" w:hAnsi="標楷體"/>
          <w:kern w:val="0"/>
          <w:sz w:val="32"/>
          <w:szCs w:val="32"/>
        </w:rPr>
      </w:pPr>
      <m:oMath>
        <m:r>
          <w:rPr>
            <w:rFonts w:ascii="Cambria Math" w:eastAsia="標楷體" w:hAnsi="Cambria Math"/>
            <w:kern w:val="0"/>
            <w:sz w:val="32"/>
            <w:szCs w:val="32"/>
          </w:rPr>
          <m:t>G</m:t>
        </m:r>
      </m:oMath>
      <w:r w:rsidR="00050D7F">
        <w:rPr>
          <w:rFonts w:ascii="標楷體" w:eastAsia="標楷體" w:hAnsi="標楷體"/>
          <w:kern w:val="0"/>
          <w:sz w:val="32"/>
          <w:szCs w:val="32"/>
        </w:rPr>
        <w:tab/>
      </w:r>
      <w:r w:rsidRPr="00D67B32">
        <w:rPr>
          <w:rFonts w:ascii="標楷體" w:eastAsia="標楷體" w:hAnsi="標楷體" w:hint="eastAsia"/>
          <w:kern w:val="0"/>
          <w:sz w:val="32"/>
          <w:szCs w:val="32"/>
        </w:rPr>
        <w:t>：金標章</w:t>
      </w:r>
      <w:r w:rsidR="00050D7F">
        <w:rPr>
          <w:rFonts w:ascii="標楷體" w:eastAsia="標楷體" w:hAnsi="標楷體" w:hint="eastAsia"/>
          <w:kern w:val="0"/>
          <w:sz w:val="32"/>
          <w:szCs w:val="32"/>
        </w:rPr>
        <w:t>以上</w:t>
      </w:r>
      <w:r w:rsidRPr="00D67B32">
        <w:rPr>
          <w:rFonts w:ascii="標楷體" w:eastAsia="標楷體" w:hAnsi="標楷體" w:hint="eastAsia"/>
          <w:kern w:val="0"/>
          <w:sz w:val="32"/>
          <w:szCs w:val="32"/>
        </w:rPr>
        <w:t>資料集個數</w:t>
      </w:r>
    </w:p>
    <w:p w14:paraId="7698CE14" w14:textId="2666EB19" w:rsidR="00050D7F" w:rsidRPr="00D67B32" w:rsidRDefault="008808CC" w:rsidP="008808CC">
      <w:pPr>
        <w:pStyle w:val="a4"/>
        <w:overflowPunct w:val="0"/>
        <w:spacing w:line="500" w:lineRule="exact"/>
        <w:ind w:leftChars="0" w:left="1280" w:firstLine="160"/>
        <w:jc w:val="both"/>
        <w:rPr>
          <w:rFonts w:ascii="標楷體" w:eastAsia="標楷體" w:hAnsi="標楷體"/>
          <w:kern w:val="0"/>
          <w:sz w:val="32"/>
          <w:szCs w:val="32"/>
        </w:rPr>
      </w:pPr>
      <m:oMath>
        <m:r>
          <w:rPr>
            <w:rFonts w:ascii="Cambria Math" w:eastAsia="標楷體" w:hAnsi="Cambria Math"/>
            <w:kern w:val="0"/>
            <w:sz w:val="32"/>
            <w:szCs w:val="32"/>
          </w:rPr>
          <m:t>S</m:t>
        </m:r>
      </m:oMath>
      <w:r w:rsidR="00050D7F">
        <w:rPr>
          <w:rFonts w:ascii="標楷體" w:eastAsia="標楷體" w:hAnsi="標楷體"/>
          <w:kern w:val="0"/>
          <w:sz w:val="32"/>
          <w:szCs w:val="32"/>
        </w:rPr>
        <w:tab/>
      </w:r>
      <w:r w:rsidRPr="00D67B32">
        <w:rPr>
          <w:rFonts w:ascii="標楷體" w:eastAsia="標楷體" w:hAnsi="標楷體" w:hint="eastAsia"/>
          <w:kern w:val="0"/>
          <w:sz w:val="32"/>
          <w:szCs w:val="32"/>
        </w:rPr>
        <w:t>：銀標章資料集個數</w:t>
      </w:r>
    </w:p>
    <w:p w14:paraId="259F6634" w14:textId="202947DB" w:rsidR="00050D7F" w:rsidRPr="00A943E1" w:rsidRDefault="008808CC" w:rsidP="00050D7F">
      <w:pPr>
        <w:pStyle w:val="a4"/>
        <w:overflowPunct w:val="0"/>
        <w:spacing w:line="500" w:lineRule="exact"/>
        <w:ind w:leftChars="0" w:left="1280" w:firstLine="160"/>
        <w:jc w:val="both"/>
        <w:rPr>
          <w:rFonts w:ascii="標楷體" w:eastAsia="標楷體" w:hAnsi="標楷體"/>
          <w:kern w:val="0"/>
          <w:sz w:val="32"/>
          <w:szCs w:val="32"/>
        </w:rPr>
      </w:pPr>
      <m:oMath>
        <m:r>
          <w:rPr>
            <w:rFonts w:ascii="Cambria Math" w:eastAsia="標楷體" w:hAnsi="Cambria Math"/>
            <w:kern w:val="0"/>
            <w:sz w:val="32"/>
            <w:szCs w:val="32"/>
          </w:rPr>
          <m:t>B</m:t>
        </m:r>
      </m:oMath>
      <w:r w:rsidR="00050D7F">
        <w:rPr>
          <w:rFonts w:ascii="標楷體" w:eastAsia="標楷體" w:hAnsi="標楷體"/>
          <w:kern w:val="0"/>
          <w:sz w:val="32"/>
          <w:szCs w:val="32"/>
        </w:rPr>
        <w:tab/>
      </w:r>
      <w:r w:rsidRPr="00D67B32">
        <w:rPr>
          <w:rFonts w:ascii="標楷體" w:eastAsia="標楷體" w:hAnsi="標楷體" w:hint="eastAsia"/>
          <w:kern w:val="0"/>
          <w:sz w:val="32"/>
          <w:szCs w:val="32"/>
        </w:rPr>
        <w:t>：銅標章資料集個數</w:t>
      </w:r>
    </w:p>
    <w:p w14:paraId="114771FC" w14:textId="060C593A" w:rsidR="008808CC" w:rsidRDefault="008808CC" w:rsidP="00A943E1">
      <w:pPr>
        <w:pStyle w:val="a4"/>
        <w:overflowPunct w:val="0"/>
        <w:spacing w:line="500" w:lineRule="exact"/>
        <w:ind w:leftChars="0" w:left="1280" w:firstLine="160"/>
        <w:jc w:val="both"/>
        <w:rPr>
          <w:rFonts w:ascii="標楷體" w:eastAsia="標楷體" w:hAnsi="標楷體"/>
          <w:kern w:val="0"/>
          <w:sz w:val="32"/>
          <w:szCs w:val="32"/>
        </w:rPr>
      </w:pPr>
      <m:oMath>
        <m:r>
          <w:rPr>
            <w:rFonts w:ascii="Cambria Math" w:eastAsia="標楷體" w:hAnsi="Cambria Math"/>
            <w:kern w:val="0"/>
            <w:sz w:val="32"/>
            <w:szCs w:val="32"/>
          </w:rPr>
          <m:t>T</m:t>
        </m:r>
      </m:oMath>
      <w:r w:rsidR="00050D7F">
        <w:rPr>
          <w:rFonts w:ascii="標楷體" w:eastAsia="標楷體" w:hAnsi="標楷體"/>
          <w:kern w:val="0"/>
          <w:sz w:val="32"/>
          <w:szCs w:val="32"/>
        </w:rPr>
        <w:tab/>
      </w:r>
      <w:r w:rsidRPr="00D67B32">
        <w:rPr>
          <w:rFonts w:ascii="標楷體" w:eastAsia="標楷體" w:hAnsi="標楷體" w:hint="eastAsia"/>
          <w:kern w:val="0"/>
          <w:sz w:val="32"/>
          <w:szCs w:val="32"/>
        </w:rPr>
        <w:t>：該機關</w:t>
      </w:r>
      <w:r w:rsidR="00E41720">
        <w:rPr>
          <w:rFonts w:ascii="標楷體" w:eastAsia="標楷體" w:hAnsi="標楷體" w:hint="eastAsia"/>
          <w:kern w:val="0"/>
          <w:sz w:val="32"/>
          <w:szCs w:val="32"/>
        </w:rPr>
        <w:t>開放</w:t>
      </w:r>
      <w:r w:rsidRPr="00D67B32">
        <w:rPr>
          <w:rFonts w:ascii="標楷體" w:eastAsia="標楷體" w:hAnsi="標楷體" w:hint="eastAsia"/>
          <w:kern w:val="0"/>
          <w:sz w:val="32"/>
          <w:szCs w:val="32"/>
        </w:rPr>
        <w:t>之資料集總數</w:t>
      </w:r>
    </w:p>
    <w:p w14:paraId="0DA88064" w14:textId="2F227BBE" w:rsidR="00E41720" w:rsidRDefault="008808CC" w:rsidP="00B564FD">
      <w:pPr>
        <w:pStyle w:val="a4"/>
        <w:overflowPunct w:val="0"/>
        <w:spacing w:line="500" w:lineRule="exact"/>
        <w:ind w:leftChars="0" w:left="726" w:firstLineChars="200" w:firstLine="640"/>
        <w:jc w:val="both"/>
        <w:rPr>
          <w:rFonts w:ascii="標楷體" w:eastAsia="標楷體" w:hAnsi="標楷體"/>
          <w:kern w:val="0"/>
          <w:sz w:val="32"/>
          <w:szCs w:val="32"/>
        </w:rPr>
      </w:pPr>
      <w:r w:rsidRPr="00D67B32">
        <w:rPr>
          <w:rFonts w:ascii="標楷體" w:eastAsia="標楷體" w:hAnsi="標楷體" w:hint="eastAsia"/>
          <w:kern w:val="0"/>
          <w:sz w:val="32"/>
          <w:szCs w:val="32"/>
        </w:rPr>
        <w:t>計分方式所述</w:t>
      </w:r>
      <w:r>
        <w:rPr>
          <w:rFonts w:ascii="標楷體" w:eastAsia="標楷體" w:hAnsi="標楷體" w:hint="eastAsia"/>
          <w:kern w:val="0"/>
          <w:sz w:val="32"/>
          <w:szCs w:val="32"/>
        </w:rPr>
        <w:t>金、銀、銅</w:t>
      </w:r>
      <w:r w:rsidRPr="00D67B32">
        <w:rPr>
          <w:rFonts w:ascii="標楷體" w:eastAsia="標楷體" w:hAnsi="標楷體" w:hint="eastAsia"/>
          <w:kern w:val="0"/>
          <w:sz w:val="32"/>
          <w:szCs w:val="32"/>
        </w:rPr>
        <w:t>標章資料集個數，原則</w:t>
      </w:r>
      <w:r>
        <w:rPr>
          <w:rFonts w:ascii="標楷體" w:eastAsia="標楷體" w:hAnsi="標楷體" w:hint="eastAsia"/>
          <w:kern w:val="0"/>
          <w:sz w:val="32"/>
          <w:szCs w:val="32"/>
        </w:rPr>
        <w:t>上</w:t>
      </w:r>
      <w:r w:rsidRPr="00D67B32">
        <w:rPr>
          <w:rFonts w:ascii="標楷體" w:eastAsia="標楷體" w:hAnsi="標楷體" w:hint="eastAsia"/>
          <w:kern w:val="0"/>
          <w:sz w:val="32"/>
          <w:szCs w:val="32"/>
        </w:rPr>
        <w:t>採計</w:t>
      </w:r>
      <w:r>
        <w:rPr>
          <w:rFonts w:ascii="標楷體" w:eastAsia="標楷體" w:hAnsi="標楷體" w:hint="eastAsia"/>
          <w:kern w:val="0"/>
          <w:sz w:val="32"/>
          <w:szCs w:val="32"/>
        </w:rPr>
        <w:t>開放於</w:t>
      </w:r>
      <w:r w:rsidRPr="00D67B32">
        <w:rPr>
          <w:rFonts w:ascii="標楷體" w:eastAsia="標楷體" w:hAnsi="標楷體" w:hint="eastAsia"/>
          <w:kern w:val="0"/>
          <w:sz w:val="32"/>
          <w:szCs w:val="32"/>
        </w:rPr>
        <w:t>政府資料開放平臺，經平臺認證</w:t>
      </w:r>
      <w:r>
        <w:rPr>
          <w:rFonts w:ascii="標楷體" w:eastAsia="標楷體" w:hAnsi="標楷體" w:hint="eastAsia"/>
          <w:kern w:val="0"/>
          <w:sz w:val="32"/>
          <w:szCs w:val="32"/>
        </w:rPr>
        <w:t>授予之</w:t>
      </w:r>
      <w:r w:rsidRPr="00D67B32">
        <w:rPr>
          <w:rFonts w:ascii="標楷體" w:eastAsia="標楷體" w:hAnsi="標楷體" w:hint="eastAsia"/>
          <w:kern w:val="0"/>
          <w:sz w:val="32"/>
          <w:szCs w:val="32"/>
        </w:rPr>
        <w:t>標章個數；各機關僅開放於機關官網或相關專區之資料集，</w:t>
      </w:r>
      <w:r>
        <w:rPr>
          <w:rFonts w:ascii="標楷體" w:eastAsia="標楷體" w:hAnsi="標楷體" w:hint="eastAsia"/>
          <w:kern w:val="0"/>
          <w:sz w:val="32"/>
          <w:szCs w:val="32"/>
        </w:rPr>
        <w:t>如</w:t>
      </w:r>
      <w:r w:rsidRPr="00D67B32">
        <w:rPr>
          <w:rFonts w:ascii="標楷體" w:eastAsia="標楷體" w:hAnsi="標楷體" w:hint="eastAsia"/>
          <w:kern w:val="0"/>
          <w:sz w:val="32"/>
          <w:szCs w:val="32"/>
        </w:rPr>
        <w:t>提出相關事證，</w:t>
      </w:r>
      <w:r>
        <w:rPr>
          <w:rFonts w:ascii="標楷體" w:eastAsia="標楷體" w:hAnsi="標楷體" w:hint="eastAsia"/>
          <w:kern w:val="0"/>
          <w:sz w:val="32"/>
          <w:szCs w:val="32"/>
        </w:rPr>
        <w:t>說</w:t>
      </w:r>
      <w:r w:rsidRPr="00D67B32">
        <w:rPr>
          <w:rFonts w:ascii="標楷體" w:eastAsia="標楷體" w:hAnsi="標楷體" w:hint="eastAsia"/>
          <w:kern w:val="0"/>
          <w:sz w:val="32"/>
          <w:szCs w:val="32"/>
        </w:rPr>
        <w:t>明該資料集品質符合</w:t>
      </w:r>
      <w:r>
        <w:rPr>
          <w:rFonts w:ascii="標楷體" w:eastAsia="標楷體" w:hAnsi="標楷體" w:hint="eastAsia"/>
          <w:kern w:val="0"/>
          <w:sz w:val="32"/>
          <w:szCs w:val="32"/>
        </w:rPr>
        <w:t>前</w:t>
      </w:r>
      <w:r w:rsidRPr="00D67B32">
        <w:rPr>
          <w:rFonts w:ascii="標楷體" w:eastAsia="標楷體" w:hAnsi="標楷體" w:hint="eastAsia"/>
          <w:kern w:val="0"/>
          <w:sz w:val="32"/>
          <w:szCs w:val="32"/>
        </w:rPr>
        <w:t>開標章</w:t>
      </w:r>
      <w:r>
        <w:rPr>
          <w:rFonts w:ascii="標楷體" w:eastAsia="標楷體" w:hAnsi="標楷體" w:hint="eastAsia"/>
          <w:kern w:val="0"/>
          <w:sz w:val="32"/>
          <w:szCs w:val="32"/>
        </w:rPr>
        <w:t>認證</w:t>
      </w:r>
      <w:r w:rsidRPr="00D67B32">
        <w:rPr>
          <w:rFonts w:ascii="標楷體" w:eastAsia="標楷體" w:hAnsi="標楷體" w:hint="eastAsia"/>
          <w:kern w:val="0"/>
          <w:sz w:val="32"/>
          <w:szCs w:val="32"/>
        </w:rPr>
        <w:t>標準</w:t>
      </w:r>
      <w:r w:rsidR="00E41720">
        <w:rPr>
          <w:rFonts w:ascii="標楷體" w:eastAsia="標楷體" w:hAnsi="標楷體" w:hint="eastAsia"/>
          <w:kern w:val="0"/>
          <w:sz w:val="32"/>
          <w:szCs w:val="32"/>
        </w:rPr>
        <w:t>者</w:t>
      </w:r>
      <w:r w:rsidRPr="00D67B32">
        <w:rPr>
          <w:rFonts w:ascii="標楷體" w:eastAsia="標楷體" w:hAnsi="標楷體" w:hint="eastAsia"/>
          <w:kern w:val="0"/>
          <w:sz w:val="32"/>
          <w:szCs w:val="32"/>
        </w:rPr>
        <w:t>，得納入計算</w:t>
      </w:r>
      <w:r w:rsidR="00550C66" w:rsidRPr="00B564FD">
        <w:rPr>
          <w:rFonts w:ascii="標楷體" w:eastAsia="標楷體" w:hAnsi="標楷體" w:hint="eastAsia"/>
          <w:sz w:val="32"/>
          <w:szCs w:val="32"/>
        </w:rPr>
        <w:t>。</w:t>
      </w:r>
      <w:r w:rsidR="008E120B">
        <w:rPr>
          <w:rFonts w:ascii="標楷體" w:eastAsia="標楷體" w:hAnsi="標楷體" w:hint="eastAsia"/>
          <w:sz w:val="32"/>
          <w:szCs w:val="32"/>
        </w:rPr>
        <w:t>(例</w:t>
      </w:r>
      <w:r w:rsidR="008E120B" w:rsidRPr="008E120B">
        <w:rPr>
          <w:rFonts w:ascii="標楷體" w:eastAsia="標楷體" w:hAnsi="標楷體" w:hint="eastAsia"/>
          <w:sz w:val="32"/>
          <w:szCs w:val="32"/>
        </w:rPr>
        <w:t>如</w:t>
      </w:r>
      <w:r w:rsidR="008E120B">
        <w:rPr>
          <w:rFonts w:ascii="標楷體" w:eastAsia="標楷體" w:hAnsi="標楷體" w:hint="eastAsia"/>
          <w:sz w:val="32"/>
          <w:szCs w:val="32"/>
        </w:rPr>
        <w:t>以</w:t>
      </w:r>
      <w:r w:rsidR="008E120B" w:rsidRPr="008E120B">
        <w:rPr>
          <w:rFonts w:ascii="標楷體" w:eastAsia="標楷體" w:hAnsi="標楷體" w:hint="eastAsia"/>
          <w:sz w:val="32"/>
          <w:szCs w:val="32"/>
        </w:rPr>
        <w:t>數位發展部之品質檢測系統</w:t>
      </w:r>
      <w:r w:rsidR="008E120B">
        <w:rPr>
          <w:rFonts w:ascii="標楷體" w:eastAsia="標楷體" w:hAnsi="標楷體" w:hint="eastAsia"/>
          <w:sz w:val="32"/>
          <w:szCs w:val="32"/>
        </w:rPr>
        <w:t>進行檢測，網址：</w:t>
      </w:r>
      <w:r w:rsidR="008E120B" w:rsidRPr="008E120B">
        <w:rPr>
          <w:rFonts w:ascii="標楷體" w:eastAsia="標楷體" w:hAnsi="標楷體" w:hint="eastAsia"/>
          <w:sz w:val="32"/>
          <w:szCs w:val="32"/>
        </w:rPr>
        <w:t>https://quality.data.gov.tw/)</w:t>
      </w:r>
    </w:p>
    <w:p w14:paraId="6A8422D9" w14:textId="2F427FB6" w:rsidR="00E41720" w:rsidRDefault="00E41720" w:rsidP="00B564FD">
      <w:pPr>
        <w:pStyle w:val="a4"/>
        <w:numPr>
          <w:ilvl w:val="2"/>
          <w:numId w:val="5"/>
        </w:numPr>
        <w:overflowPunct w:val="0"/>
        <w:spacing w:line="500" w:lineRule="exact"/>
        <w:ind w:leftChars="0" w:left="726" w:hanging="323"/>
        <w:jc w:val="both"/>
        <w:rPr>
          <w:rFonts w:ascii="標楷體" w:eastAsia="標楷體" w:hAnsi="標楷體"/>
          <w:kern w:val="0"/>
          <w:sz w:val="32"/>
          <w:szCs w:val="32"/>
        </w:rPr>
      </w:pPr>
      <w:r w:rsidRPr="00E41720">
        <w:rPr>
          <w:rFonts w:ascii="標楷體" w:eastAsia="標楷體" w:hAnsi="標楷體" w:hint="eastAsia"/>
          <w:kern w:val="0"/>
          <w:sz w:val="32"/>
          <w:szCs w:val="32"/>
        </w:rPr>
        <w:t>資料集若經平臺檢測獲得金標章後，可進行白金標章檢測，通過檢測項目後可獲得白金標章，每個白金標章</w:t>
      </w:r>
      <w:r>
        <w:rPr>
          <w:rFonts w:ascii="標楷體" w:eastAsia="標楷體" w:hAnsi="標楷體" w:hint="eastAsia"/>
          <w:kern w:val="0"/>
          <w:sz w:val="32"/>
          <w:szCs w:val="32"/>
        </w:rPr>
        <w:t>可得</w:t>
      </w:r>
      <w:r w:rsidRPr="00E41720">
        <w:rPr>
          <w:rFonts w:ascii="標楷體" w:eastAsia="標楷體" w:hAnsi="標楷體" w:hint="eastAsia"/>
          <w:kern w:val="0"/>
          <w:sz w:val="32"/>
          <w:szCs w:val="32"/>
        </w:rPr>
        <w:t>0.</w:t>
      </w:r>
      <w:r w:rsidR="00D44A3B">
        <w:rPr>
          <w:rFonts w:ascii="標楷體" w:eastAsia="標楷體" w:hAnsi="標楷體" w:hint="eastAsia"/>
          <w:kern w:val="0"/>
          <w:sz w:val="32"/>
          <w:szCs w:val="32"/>
        </w:rPr>
        <w:t>2</w:t>
      </w:r>
      <w:r w:rsidRPr="00E41720">
        <w:rPr>
          <w:rFonts w:ascii="標楷體" w:eastAsia="標楷體" w:hAnsi="標楷體" w:hint="eastAsia"/>
          <w:kern w:val="0"/>
          <w:sz w:val="32"/>
          <w:szCs w:val="32"/>
        </w:rPr>
        <w:t>分</w:t>
      </w:r>
      <w:r>
        <w:rPr>
          <w:rFonts w:ascii="標楷體" w:eastAsia="標楷體" w:hAnsi="標楷體" w:hint="eastAsia"/>
          <w:kern w:val="0"/>
          <w:sz w:val="32"/>
          <w:szCs w:val="32"/>
        </w:rPr>
        <w:t>，以5分為限。</w:t>
      </w:r>
    </w:p>
    <w:p w14:paraId="59C4776A" w14:textId="070BB36E" w:rsidR="00A04E91" w:rsidRDefault="008808CC" w:rsidP="00B564FD">
      <w:pPr>
        <w:pStyle w:val="a4"/>
        <w:numPr>
          <w:ilvl w:val="2"/>
          <w:numId w:val="5"/>
        </w:numPr>
        <w:overflowPunct w:val="0"/>
        <w:spacing w:line="500" w:lineRule="exact"/>
        <w:ind w:leftChars="0" w:left="726" w:hanging="323"/>
        <w:jc w:val="both"/>
        <w:rPr>
          <w:rFonts w:ascii="標楷體" w:eastAsia="標楷體" w:hAnsi="標楷體"/>
          <w:kern w:val="0"/>
          <w:sz w:val="32"/>
          <w:szCs w:val="32"/>
        </w:rPr>
      </w:pPr>
      <w:r>
        <w:rPr>
          <w:rFonts w:ascii="標楷體" w:eastAsia="標楷體" w:hAnsi="標楷體" w:hint="eastAsia"/>
          <w:kern w:val="0"/>
          <w:sz w:val="32"/>
          <w:szCs w:val="32"/>
        </w:rPr>
        <w:t>各項標章資料集，如經認定實質未符品質標章認證標準者，得於</w:t>
      </w:r>
      <w:r w:rsidR="00E41720">
        <w:rPr>
          <w:rFonts w:ascii="標楷體" w:eastAsia="標楷體" w:hAnsi="標楷體" w:hint="eastAsia"/>
          <w:kern w:val="0"/>
          <w:sz w:val="32"/>
          <w:szCs w:val="32"/>
        </w:rPr>
        <w:t>評審</w:t>
      </w:r>
      <w:r>
        <w:rPr>
          <w:rFonts w:ascii="標楷體" w:eastAsia="標楷體" w:hAnsi="標楷體" w:hint="eastAsia"/>
          <w:kern w:val="0"/>
          <w:sz w:val="32"/>
          <w:szCs w:val="32"/>
        </w:rPr>
        <w:t>時由委員提出扣除之。</w:t>
      </w:r>
    </w:p>
    <w:p w14:paraId="20D0D86E" w14:textId="5254864A" w:rsidR="008808CC" w:rsidRPr="001A3D97" w:rsidRDefault="008808CC" w:rsidP="001A3D97">
      <w:pPr>
        <w:widowControl/>
        <w:rPr>
          <w:rFonts w:ascii="標楷體" w:eastAsia="標楷體" w:hAnsi="標楷體"/>
          <w:kern w:val="0"/>
          <w:sz w:val="32"/>
          <w:szCs w:val="32"/>
        </w:rPr>
      </w:pPr>
    </w:p>
    <w:p w14:paraId="3C7BAD83" w14:textId="198A13F3" w:rsidR="00651427" w:rsidRPr="00795C2D" w:rsidRDefault="006E1347" w:rsidP="00375081">
      <w:pPr>
        <w:widowControl/>
        <w:rPr>
          <w:b/>
          <w:bCs/>
          <w:color w:val="000000"/>
          <w:sz w:val="48"/>
          <w:szCs w:val="48"/>
        </w:rPr>
      </w:pPr>
      <w:r w:rsidRPr="00CD6891">
        <w:rPr>
          <w:b/>
          <w:bCs/>
          <w:noProof/>
          <w:color w:val="000000"/>
          <w:sz w:val="48"/>
          <w:szCs w:val="48"/>
        </w:rPr>
        <w:lastRenderedPageBreak/>
        <mc:AlternateContent>
          <mc:Choice Requires="wps">
            <w:drawing>
              <wp:anchor distT="45720" distB="45720" distL="114300" distR="114300" simplePos="0" relativeHeight="251659264" behindDoc="0" locked="0" layoutInCell="1" allowOverlap="1" wp14:anchorId="00B46BA7" wp14:editId="749331DF">
                <wp:simplePos x="0" y="0"/>
                <wp:positionH relativeFrom="margin">
                  <wp:posOffset>4921250</wp:posOffset>
                </wp:positionH>
                <wp:positionV relativeFrom="paragraph">
                  <wp:posOffset>0</wp:posOffset>
                </wp:positionV>
                <wp:extent cx="807720" cy="349250"/>
                <wp:effectExtent l="0" t="0" r="11430" b="1270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49250"/>
                        </a:xfrm>
                        <a:prstGeom prst="rect">
                          <a:avLst/>
                        </a:prstGeom>
                        <a:solidFill>
                          <a:srgbClr val="FFFFFF"/>
                        </a:solidFill>
                        <a:ln w="9525">
                          <a:solidFill>
                            <a:schemeClr val="bg1"/>
                          </a:solidFill>
                          <a:miter lim="800000"/>
                          <a:headEnd/>
                          <a:tailEnd/>
                        </a:ln>
                      </wps:spPr>
                      <wps:txbx>
                        <w:txbxContent>
                          <w:p w14:paraId="5E0F6FF8" w14:textId="612C1B28" w:rsidR="00651427" w:rsidRPr="00AD63BE" w:rsidRDefault="00651427" w:rsidP="00375081">
                            <w:pPr>
                              <w:spacing w:line="240" w:lineRule="exact"/>
                              <w:rPr>
                                <w:rFonts w:ascii="標楷體" w:eastAsia="標楷體" w:hAnsi="標楷體"/>
                                <w:sz w:val="28"/>
                                <w:szCs w:val="28"/>
                              </w:rPr>
                            </w:pPr>
                            <w:r w:rsidRPr="00AD63BE">
                              <w:rPr>
                                <w:rFonts w:ascii="標楷體" w:eastAsia="標楷體" w:hAnsi="標楷體" w:hint="eastAsia"/>
                                <w:sz w:val="28"/>
                                <w:szCs w:val="28"/>
                              </w:rPr>
                              <w:t>附件</w:t>
                            </w:r>
                            <w:r w:rsidR="00A532E8">
                              <w:rPr>
                                <w:rFonts w:ascii="標楷體" w:eastAsia="標楷體" w:hAnsi="標楷體" w:hint="eastAsia"/>
                                <w:sz w:val="28"/>
                                <w:szCs w:val="2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46BA7" id="_x0000_s1027" type="#_x0000_t202" style="position:absolute;margin-left:387.5pt;margin-top:0;width:63.6pt;height: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" strokecolor="white [3212]">
                <v:textbox>
                  <w:txbxContent>
                    <w:p w14:paraId="5E0F6FF8" w14:textId="612C1B28" w:rsidR="00651427" w:rsidRPr="00AD63BE" w:rsidRDefault="00651427" w:rsidP="00375081">
                      <w:pPr>
                        <w:spacing w:line="240" w:lineRule="exact"/>
                        <w:rPr>
                          <w:rFonts w:ascii="標楷體" w:eastAsia="標楷體" w:hAnsi="標楷體"/>
                          <w:sz w:val="28"/>
                          <w:szCs w:val="28"/>
                        </w:rPr>
                      </w:pPr>
                      <w:r w:rsidRPr="00AD63BE">
                        <w:rPr>
                          <w:rFonts w:ascii="標楷體" w:eastAsia="標楷體" w:hAnsi="標楷體" w:hint="eastAsia"/>
                          <w:sz w:val="28"/>
                          <w:szCs w:val="28"/>
                        </w:rPr>
                        <w:t>附件</w:t>
                      </w:r>
                      <w:r w:rsidR="00A532E8">
                        <w:rPr>
                          <w:rFonts w:ascii="標楷體" w:eastAsia="標楷體" w:hAnsi="標楷體" w:hint="eastAsia"/>
                          <w:sz w:val="28"/>
                          <w:szCs w:val="28"/>
                        </w:rPr>
                        <w:t>二</w:t>
                      </w:r>
                    </w:p>
                  </w:txbxContent>
                </v:textbox>
                <w10:wrap type="square" anchorx="margin"/>
              </v:shape>
            </w:pict>
          </mc:Fallback>
        </mc:AlternateContent>
      </w:r>
    </w:p>
    <w:p w14:paraId="7CEC91CE" w14:textId="30C7BA03" w:rsidR="00651427" w:rsidRPr="00795C2D" w:rsidRDefault="00651427">
      <w:pPr>
        <w:pStyle w:val="a7"/>
        <w:rPr>
          <w:b/>
          <w:bCs/>
          <w:color w:val="000000"/>
          <w:sz w:val="48"/>
          <w:szCs w:val="48"/>
        </w:rPr>
      </w:pPr>
      <w:r w:rsidRPr="00795C2D">
        <w:rPr>
          <w:rFonts w:hint="eastAsia"/>
          <w:b/>
          <w:bCs/>
          <w:color w:val="000000"/>
          <w:sz w:val="48"/>
          <w:szCs w:val="48"/>
        </w:rPr>
        <w:t>考試院政府資料開放應用獎申請書</w:t>
      </w:r>
    </w:p>
    <w:tbl>
      <w:tblPr>
        <w:tblW w:w="9645" w:type="dxa"/>
        <w:jc w:val="center"/>
        <w:tblLayout w:type="fixed"/>
        <w:tblCellMar>
          <w:left w:w="10" w:type="dxa"/>
          <w:right w:w="10" w:type="dxa"/>
        </w:tblCellMar>
        <w:tblLook w:val="04A0" w:firstRow="1" w:lastRow="0" w:firstColumn="1" w:lastColumn="0" w:noHBand="0" w:noVBand="1"/>
      </w:tblPr>
      <w:tblGrid>
        <w:gridCol w:w="1643"/>
        <w:gridCol w:w="2182"/>
        <w:gridCol w:w="1787"/>
        <w:gridCol w:w="4033"/>
      </w:tblGrid>
      <w:tr w:rsidR="00651427" w:rsidRPr="00795C2D" w14:paraId="05C1E4C6" w14:textId="77777777" w:rsidTr="00651427">
        <w:trPr>
          <w:jc w:val="center"/>
        </w:trPr>
        <w:tc>
          <w:tcPr>
            <w:tcW w:w="1643" w:type="dxa"/>
            <w:tcBorders>
              <w:top w:val="single" w:sz="2" w:space="0" w:color="000000"/>
              <w:left w:val="single" w:sz="2" w:space="0" w:color="000000"/>
              <w:bottom w:val="single" w:sz="2" w:space="0" w:color="000000"/>
              <w:right w:val="nil"/>
            </w:tcBorders>
            <w:tcMar>
              <w:top w:w="55" w:type="dxa"/>
              <w:left w:w="52" w:type="dxa"/>
              <w:bottom w:w="55" w:type="dxa"/>
              <w:right w:w="55" w:type="dxa"/>
            </w:tcMar>
            <w:vAlign w:val="center"/>
            <w:hideMark/>
          </w:tcPr>
          <w:p w14:paraId="1AA2940F" w14:textId="77777777" w:rsidR="00651427" w:rsidRPr="00795C2D" w:rsidRDefault="00651427" w:rsidP="00D67B32">
            <w:pPr>
              <w:pStyle w:val="Textbody"/>
              <w:spacing w:before="100" w:after="100" w:line="0" w:lineRule="atLeast"/>
              <w:jc w:val="both"/>
            </w:pPr>
            <w:r w:rsidRPr="00795C2D">
              <w:rPr>
                <w:rFonts w:hint="eastAsia"/>
                <w:b/>
                <w:color w:val="000000"/>
              </w:rPr>
              <w:t>申請機關</w:t>
            </w:r>
          </w:p>
        </w:tc>
        <w:tc>
          <w:tcPr>
            <w:tcW w:w="8002" w:type="dxa"/>
            <w:gridSpan w:val="3"/>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tcPr>
          <w:p w14:paraId="6A16BF9D" w14:textId="77777777" w:rsidR="00651427" w:rsidRPr="00795C2D" w:rsidRDefault="00651427" w:rsidP="00D67B32">
            <w:pPr>
              <w:pStyle w:val="Textbody"/>
              <w:spacing w:before="100" w:after="100" w:line="0" w:lineRule="atLeast"/>
              <w:jc w:val="both"/>
              <w:rPr>
                <w:color w:val="000000"/>
              </w:rPr>
            </w:pPr>
          </w:p>
        </w:tc>
      </w:tr>
      <w:tr w:rsidR="00651427" w:rsidRPr="00795C2D" w14:paraId="6D7A97FD" w14:textId="77777777" w:rsidTr="00651427">
        <w:trPr>
          <w:trHeight w:val="1039"/>
          <w:jc w:val="center"/>
        </w:trPr>
        <w:tc>
          <w:tcPr>
            <w:tcW w:w="1643" w:type="dxa"/>
            <w:tcBorders>
              <w:top w:val="single" w:sz="2" w:space="0" w:color="000000"/>
              <w:left w:val="single" w:sz="2" w:space="0" w:color="000000"/>
              <w:bottom w:val="single" w:sz="2" w:space="0" w:color="000000"/>
              <w:right w:val="nil"/>
            </w:tcBorders>
            <w:tcMar>
              <w:top w:w="55" w:type="dxa"/>
              <w:left w:w="52" w:type="dxa"/>
              <w:bottom w:w="55" w:type="dxa"/>
              <w:right w:w="55" w:type="dxa"/>
            </w:tcMar>
            <w:vAlign w:val="center"/>
            <w:hideMark/>
          </w:tcPr>
          <w:p w14:paraId="7A722145" w14:textId="77777777" w:rsidR="00651427" w:rsidRPr="00795C2D" w:rsidRDefault="00651427" w:rsidP="00D67B32">
            <w:pPr>
              <w:pStyle w:val="Textbody"/>
              <w:spacing w:before="100" w:after="100" w:line="0" w:lineRule="atLeast"/>
              <w:jc w:val="both"/>
              <w:rPr>
                <w:b/>
                <w:color w:val="000000"/>
              </w:rPr>
            </w:pPr>
            <w:r w:rsidRPr="00795C2D">
              <w:rPr>
                <w:rFonts w:hint="eastAsia"/>
                <w:b/>
                <w:color w:val="000000"/>
              </w:rPr>
              <w:t>應用或服務名稱</w:t>
            </w:r>
          </w:p>
        </w:tc>
        <w:tc>
          <w:tcPr>
            <w:tcW w:w="8002" w:type="dxa"/>
            <w:gridSpan w:val="3"/>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tcPr>
          <w:p w14:paraId="07734DC1" w14:textId="77777777" w:rsidR="00651427" w:rsidRPr="00795C2D" w:rsidRDefault="00651427" w:rsidP="00D67B32">
            <w:pPr>
              <w:pStyle w:val="Textbody"/>
              <w:spacing w:before="100" w:after="100" w:line="0" w:lineRule="atLeast"/>
              <w:jc w:val="both"/>
              <w:rPr>
                <w:color w:val="000000"/>
              </w:rPr>
            </w:pPr>
          </w:p>
        </w:tc>
      </w:tr>
      <w:tr w:rsidR="00651427" w:rsidRPr="00795C2D" w14:paraId="7EE06CAA" w14:textId="77777777" w:rsidTr="00651427">
        <w:trPr>
          <w:trHeight w:val="1956"/>
          <w:jc w:val="center"/>
        </w:trPr>
        <w:tc>
          <w:tcPr>
            <w:tcW w:w="1643" w:type="dxa"/>
            <w:tcBorders>
              <w:top w:val="single" w:sz="2" w:space="0" w:color="000000"/>
              <w:left w:val="single" w:sz="2" w:space="0" w:color="000000"/>
              <w:bottom w:val="single" w:sz="2" w:space="0" w:color="000000"/>
              <w:right w:val="nil"/>
            </w:tcBorders>
            <w:tcMar>
              <w:top w:w="55" w:type="dxa"/>
              <w:left w:w="52" w:type="dxa"/>
              <w:bottom w:w="55" w:type="dxa"/>
              <w:right w:w="55" w:type="dxa"/>
            </w:tcMar>
            <w:vAlign w:val="center"/>
            <w:hideMark/>
          </w:tcPr>
          <w:p w14:paraId="1325AB91" w14:textId="77777777" w:rsidR="00651427" w:rsidRPr="00795C2D" w:rsidRDefault="00651427" w:rsidP="00D67B32">
            <w:pPr>
              <w:pStyle w:val="Textbody"/>
              <w:spacing w:before="100" w:after="100" w:line="0" w:lineRule="atLeast"/>
              <w:jc w:val="both"/>
              <w:rPr>
                <w:b/>
                <w:color w:val="000000"/>
              </w:rPr>
            </w:pPr>
            <w:r w:rsidRPr="00795C2D">
              <w:rPr>
                <w:rFonts w:hint="eastAsia"/>
                <w:b/>
                <w:color w:val="000000"/>
              </w:rPr>
              <w:t>應用或服務簡介</w:t>
            </w:r>
          </w:p>
        </w:tc>
        <w:tc>
          <w:tcPr>
            <w:tcW w:w="8002" w:type="dxa"/>
            <w:gridSpan w:val="3"/>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hideMark/>
          </w:tcPr>
          <w:p w14:paraId="27338775" w14:textId="77777777" w:rsidR="00651427" w:rsidRPr="00795C2D" w:rsidRDefault="00651427" w:rsidP="00D67B32">
            <w:pPr>
              <w:pStyle w:val="Textbody"/>
              <w:spacing w:before="100" w:after="100" w:line="0" w:lineRule="atLeast"/>
              <w:jc w:val="both"/>
              <w:rPr>
                <w:color w:val="000000"/>
              </w:rPr>
            </w:pPr>
            <w:r w:rsidRPr="00795C2D">
              <w:rPr>
                <w:rFonts w:hint="eastAsia"/>
                <w:color w:val="000000"/>
              </w:rPr>
              <w:t>請於</w:t>
            </w:r>
            <w:r w:rsidRPr="00795C2D">
              <w:rPr>
                <w:color w:val="000000"/>
              </w:rPr>
              <w:t>300</w:t>
            </w:r>
            <w:r w:rsidRPr="00795C2D">
              <w:rPr>
                <w:rFonts w:hint="eastAsia"/>
                <w:color w:val="000000"/>
              </w:rPr>
              <w:t>字內，簡要說明應用或服務特色、解決問題、質化或量化效益等。</w:t>
            </w:r>
          </w:p>
        </w:tc>
      </w:tr>
      <w:tr w:rsidR="00651427" w:rsidRPr="00795C2D" w14:paraId="48A44840" w14:textId="77777777" w:rsidTr="00651427">
        <w:trPr>
          <w:jc w:val="center"/>
        </w:trPr>
        <w:tc>
          <w:tcPr>
            <w:tcW w:w="1643" w:type="dxa"/>
            <w:vMerge w:val="restart"/>
            <w:tcBorders>
              <w:top w:val="single" w:sz="2" w:space="0" w:color="000000"/>
              <w:left w:val="single" w:sz="2" w:space="0" w:color="000000"/>
              <w:bottom w:val="single" w:sz="2" w:space="0" w:color="000000"/>
              <w:right w:val="nil"/>
            </w:tcBorders>
            <w:tcMar>
              <w:top w:w="55" w:type="dxa"/>
              <w:left w:w="52" w:type="dxa"/>
              <w:bottom w:w="55" w:type="dxa"/>
              <w:right w:w="55" w:type="dxa"/>
            </w:tcMar>
            <w:vAlign w:val="center"/>
            <w:hideMark/>
          </w:tcPr>
          <w:p w14:paraId="02B5BBCF" w14:textId="77777777" w:rsidR="00651427" w:rsidRPr="00795C2D" w:rsidRDefault="00651427" w:rsidP="00D67B32">
            <w:pPr>
              <w:pStyle w:val="Textbody"/>
              <w:spacing w:before="100" w:after="100" w:line="0" w:lineRule="atLeast"/>
              <w:jc w:val="both"/>
              <w:rPr>
                <w:b/>
                <w:color w:val="000000"/>
              </w:rPr>
            </w:pPr>
            <w:r w:rsidRPr="00795C2D">
              <w:rPr>
                <w:rFonts w:hint="eastAsia"/>
                <w:b/>
                <w:color w:val="000000"/>
              </w:rPr>
              <w:t>應用之資料</w:t>
            </w:r>
          </w:p>
          <w:p w14:paraId="10F2A608" w14:textId="77777777" w:rsidR="00651427" w:rsidRPr="00795C2D" w:rsidRDefault="00651427" w:rsidP="00D67B32">
            <w:pPr>
              <w:pStyle w:val="Textbody"/>
              <w:spacing w:before="100" w:after="100" w:line="0" w:lineRule="atLeast"/>
              <w:jc w:val="both"/>
              <w:rPr>
                <w:b/>
                <w:color w:val="000000"/>
              </w:rPr>
            </w:pPr>
            <w:r w:rsidRPr="00795C2D">
              <w:rPr>
                <w:rFonts w:hint="eastAsia"/>
                <w:b/>
                <w:color w:val="000000"/>
              </w:rPr>
              <w:t>（請詳列）</w:t>
            </w:r>
          </w:p>
        </w:tc>
        <w:tc>
          <w:tcPr>
            <w:tcW w:w="2182" w:type="dxa"/>
            <w:tcBorders>
              <w:top w:val="single" w:sz="2" w:space="0" w:color="000000"/>
              <w:left w:val="single" w:sz="2" w:space="0" w:color="000000"/>
              <w:bottom w:val="single" w:sz="2" w:space="0" w:color="000000"/>
              <w:right w:val="nil"/>
            </w:tcBorders>
            <w:tcMar>
              <w:top w:w="55" w:type="dxa"/>
              <w:left w:w="52" w:type="dxa"/>
              <w:bottom w:w="55" w:type="dxa"/>
              <w:right w:w="55" w:type="dxa"/>
            </w:tcMar>
            <w:vAlign w:val="center"/>
            <w:hideMark/>
          </w:tcPr>
          <w:p w14:paraId="47D82C5E" w14:textId="77777777" w:rsidR="00651427" w:rsidRPr="00795C2D" w:rsidRDefault="00651427" w:rsidP="00D67B32">
            <w:pPr>
              <w:pStyle w:val="Textbody"/>
              <w:spacing w:before="100" w:after="100" w:line="0" w:lineRule="atLeast"/>
              <w:jc w:val="both"/>
              <w:rPr>
                <w:b/>
                <w:color w:val="000000"/>
              </w:rPr>
            </w:pPr>
            <w:r w:rsidRPr="00795C2D">
              <w:rPr>
                <w:rFonts w:hint="eastAsia"/>
                <w:b/>
                <w:color w:val="000000"/>
              </w:rPr>
              <w:t>資料集提供機關</w:t>
            </w:r>
          </w:p>
        </w:tc>
        <w:tc>
          <w:tcPr>
            <w:tcW w:w="1787" w:type="dxa"/>
            <w:tcBorders>
              <w:top w:val="single" w:sz="2" w:space="0" w:color="000000"/>
              <w:left w:val="single" w:sz="2" w:space="0" w:color="000000"/>
              <w:bottom w:val="single" w:sz="2" w:space="0" w:color="000000"/>
              <w:right w:val="nil"/>
            </w:tcBorders>
            <w:tcMar>
              <w:top w:w="55" w:type="dxa"/>
              <w:left w:w="52" w:type="dxa"/>
              <w:bottom w:w="55" w:type="dxa"/>
              <w:right w:w="55" w:type="dxa"/>
            </w:tcMar>
            <w:vAlign w:val="center"/>
            <w:hideMark/>
          </w:tcPr>
          <w:p w14:paraId="4B2AEA1D" w14:textId="77777777" w:rsidR="00651427" w:rsidRPr="00795C2D" w:rsidRDefault="00651427" w:rsidP="00D67B32">
            <w:pPr>
              <w:pStyle w:val="Textbody"/>
              <w:spacing w:before="100" w:after="100" w:line="0" w:lineRule="atLeast"/>
              <w:jc w:val="both"/>
              <w:rPr>
                <w:b/>
                <w:color w:val="000000"/>
              </w:rPr>
            </w:pPr>
            <w:r w:rsidRPr="00795C2D">
              <w:rPr>
                <w:rFonts w:hint="eastAsia"/>
                <w:b/>
                <w:color w:val="000000"/>
              </w:rPr>
              <w:t>資料集名稱</w:t>
            </w:r>
          </w:p>
        </w:tc>
        <w:tc>
          <w:tcPr>
            <w:tcW w:w="4033" w:type="dxa"/>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vAlign w:val="center"/>
            <w:hideMark/>
          </w:tcPr>
          <w:p w14:paraId="48643DD1" w14:textId="77777777" w:rsidR="00651427" w:rsidRPr="00795C2D" w:rsidRDefault="00651427" w:rsidP="00D67B32">
            <w:pPr>
              <w:pStyle w:val="Textbody"/>
              <w:spacing w:before="100" w:after="100" w:line="0" w:lineRule="atLeast"/>
              <w:jc w:val="both"/>
              <w:rPr>
                <w:b/>
                <w:color w:val="000000"/>
              </w:rPr>
            </w:pPr>
            <w:r w:rsidRPr="00795C2D">
              <w:rPr>
                <w:rFonts w:hint="eastAsia"/>
                <w:b/>
                <w:color w:val="000000"/>
              </w:rPr>
              <w:t>資料集連結</w:t>
            </w:r>
          </w:p>
        </w:tc>
      </w:tr>
      <w:tr w:rsidR="00651427" w:rsidRPr="00795C2D" w14:paraId="7240B914" w14:textId="77777777" w:rsidTr="00651427">
        <w:trPr>
          <w:jc w:val="center"/>
        </w:trPr>
        <w:tc>
          <w:tcPr>
            <w:tcW w:w="1643" w:type="dxa"/>
            <w:vMerge/>
            <w:tcBorders>
              <w:top w:val="single" w:sz="2" w:space="0" w:color="000000"/>
              <w:left w:val="single" w:sz="2" w:space="0" w:color="000000"/>
              <w:bottom w:val="single" w:sz="2" w:space="0" w:color="000000"/>
              <w:right w:val="nil"/>
            </w:tcBorders>
            <w:vAlign w:val="center"/>
            <w:hideMark/>
          </w:tcPr>
          <w:p w14:paraId="6174AA78" w14:textId="77777777" w:rsidR="00651427" w:rsidRPr="00D67B32" w:rsidRDefault="00651427" w:rsidP="00D67B32">
            <w:pPr>
              <w:widowControl/>
              <w:overflowPunct w:val="0"/>
              <w:spacing w:line="0" w:lineRule="atLeast"/>
              <w:jc w:val="both"/>
              <w:rPr>
                <w:rFonts w:ascii="Times New Roman" w:eastAsia="標楷體" w:hAnsi="Times New Roman" w:cs="Times New Roman"/>
                <w:b/>
                <w:color w:val="000000"/>
                <w:kern w:val="0"/>
                <w:sz w:val="28"/>
                <w:szCs w:val="24"/>
                <w:lang w:bidi="hi-IN"/>
              </w:rPr>
            </w:pPr>
          </w:p>
        </w:tc>
        <w:tc>
          <w:tcPr>
            <w:tcW w:w="2182" w:type="dxa"/>
            <w:tcBorders>
              <w:top w:val="single" w:sz="2" w:space="0" w:color="000000"/>
              <w:left w:val="single" w:sz="2" w:space="0" w:color="000000"/>
              <w:bottom w:val="single" w:sz="2" w:space="0" w:color="000000"/>
              <w:right w:val="nil"/>
            </w:tcBorders>
            <w:tcMar>
              <w:top w:w="55" w:type="dxa"/>
              <w:left w:w="52" w:type="dxa"/>
              <w:bottom w:w="55" w:type="dxa"/>
              <w:right w:w="55" w:type="dxa"/>
            </w:tcMar>
          </w:tcPr>
          <w:p w14:paraId="53BCBB06" w14:textId="77777777" w:rsidR="00651427" w:rsidRPr="00795C2D" w:rsidRDefault="00651427" w:rsidP="00D67B32">
            <w:pPr>
              <w:pStyle w:val="Textbody"/>
              <w:spacing w:before="100" w:after="100" w:line="0" w:lineRule="atLeast"/>
              <w:jc w:val="both"/>
              <w:rPr>
                <w:rFonts w:ascii="標楷體" w:hAnsi="標楷體"/>
                <w:color w:val="000000"/>
              </w:rPr>
            </w:pPr>
          </w:p>
        </w:tc>
        <w:tc>
          <w:tcPr>
            <w:tcW w:w="1787" w:type="dxa"/>
            <w:tcBorders>
              <w:top w:val="single" w:sz="2" w:space="0" w:color="000000"/>
              <w:left w:val="single" w:sz="2" w:space="0" w:color="000000"/>
              <w:bottom w:val="single" w:sz="2" w:space="0" w:color="000000"/>
              <w:right w:val="nil"/>
            </w:tcBorders>
            <w:tcMar>
              <w:top w:w="55" w:type="dxa"/>
              <w:left w:w="52" w:type="dxa"/>
              <w:bottom w:w="55" w:type="dxa"/>
              <w:right w:w="55" w:type="dxa"/>
            </w:tcMar>
          </w:tcPr>
          <w:p w14:paraId="0A5FB192" w14:textId="77777777" w:rsidR="00651427" w:rsidRPr="00795C2D" w:rsidRDefault="00651427" w:rsidP="00D67B32">
            <w:pPr>
              <w:pStyle w:val="Textbody"/>
              <w:spacing w:before="100" w:after="100" w:line="0" w:lineRule="atLeast"/>
              <w:jc w:val="both"/>
              <w:rPr>
                <w:rFonts w:ascii="標楷體" w:hAnsi="標楷體"/>
                <w:color w:val="000000"/>
              </w:rPr>
            </w:pPr>
          </w:p>
        </w:tc>
        <w:tc>
          <w:tcPr>
            <w:tcW w:w="4033" w:type="dxa"/>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tcPr>
          <w:p w14:paraId="142BE018" w14:textId="77777777" w:rsidR="00651427" w:rsidRPr="00795C2D" w:rsidRDefault="00651427" w:rsidP="00D67B32">
            <w:pPr>
              <w:pStyle w:val="Textbody"/>
              <w:spacing w:before="100" w:after="100" w:line="0" w:lineRule="atLeast"/>
              <w:jc w:val="both"/>
              <w:rPr>
                <w:color w:val="000000"/>
              </w:rPr>
            </w:pPr>
          </w:p>
        </w:tc>
      </w:tr>
      <w:tr w:rsidR="00651427" w:rsidRPr="00795C2D" w14:paraId="48B67018" w14:textId="77777777" w:rsidTr="00651427">
        <w:trPr>
          <w:jc w:val="center"/>
        </w:trPr>
        <w:tc>
          <w:tcPr>
            <w:tcW w:w="1643" w:type="dxa"/>
            <w:tcBorders>
              <w:top w:val="single" w:sz="2" w:space="0" w:color="000000"/>
              <w:left w:val="single" w:sz="2" w:space="0" w:color="000000"/>
              <w:bottom w:val="single" w:sz="2" w:space="0" w:color="000000"/>
              <w:right w:val="nil"/>
            </w:tcBorders>
            <w:tcMar>
              <w:top w:w="55" w:type="dxa"/>
              <w:left w:w="52" w:type="dxa"/>
              <w:bottom w:w="55" w:type="dxa"/>
              <w:right w:w="55" w:type="dxa"/>
            </w:tcMar>
            <w:vAlign w:val="center"/>
            <w:hideMark/>
          </w:tcPr>
          <w:p w14:paraId="38093598" w14:textId="77777777" w:rsidR="00651427" w:rsidRPr="00795C2D" w:rsidRDefault="00651427" w:rsidP="00D67B32">
            <w:pPr>
              <w:pStyle w:val="Textbody"/>
              <w:spacing w:before="100" w:after="100" w:line="0" w:lineRule="atLeast"/>
              <w:jc w:val="both"/>
              <w:rPr>
                <w:b/>
                <w:color w:val="000000"/>
              </w:rPr>
            </w:pPr>
            <w:r w:rsidRPr="00795C2D">
              <w:rPr>
                <w:rFonts w:hint="eastAsia"/>
                <w:b/>
                <w:color w:val="000000"/>
              </w:rPr>
              <w:t>應用或服務說明</w:t>
            </w:r>
          </w:p>
        </w:tc>
        <w:tc>
          <w:tcPr>
            <w:tcW w:w="8002" w:type="dxa"/>
            <w:gridSpan w:val="3"/>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hideMark/>
          </w:tcPr>
          <w:p w14:paraId="5459CF7A" w14:textId="77777777" w:rsidR="00651427" w:rsidRPr="00795C2D" w:rsidRDefault="00651427" w:rsidP="00D67B32">
            <w:pPr>
              <w:pStyle w:val="Textbody"/>
              <w:spacing w:before="100" w:after="100" w:line="0" w:lineRule="atLeast"/>
              <w:jc w:val="both"/>
              <w:rPr>
                <w:color w:val="000000"/>
              </w:rPr>
            </w:pPr>
            <w:r w:rsidRPr="00795C2D">
              <w:rPr>
                <w:rFonts w:hint="eastAsia"/>
                <w:color w:val="000000"/>
              </w:rPr>
              <w:t>壹、緣起與目的</w:t>
            </w:r>
          </w:p>
          <w:p w14:paraId="14794B32" w14:textId="77777777" w:rsidR="00651427" w:rsidRPr="00795C2D" w:rsidRDefault="00651427" w:rsidP="00D67B32">
            <w:pPr>
              <w:pStyle w:val="Textbody"/>
              <w:spacing w:before="100" w:after="100" w:line="0" w:lineRule="atLeast"/>
              <w:jc w:val="both"/>
              <w:rPr>
                <w:color w:val="000000"/>
              </w:rPr>
            </w:pPr>
            <w:r w:rsidRPr="00795C2D">
              <w:rPr>
                <w:rFonts w:hint="eastAsia"/>
                <w:color w:val="000000"/>
              </w:rPr>
              <w:t>貳、應用與服務定位及功能</w:t>
            </w:r>
          </w:p>
          <w:p w14:paraId="0C4688C5" w14:textId="77777777" w:rsidR="00651427" w:rsidRPr="00795C2D" w:rsidRDefault="00651427" w:rsidP="00D67B32">
            <w:pPr>
              <w:pStyle w:val="Textbody"/>
              <w:spacing w:before="100" w:after="100" w:line="0" w:lineRule="atLeast"/>
              <w:jc w:val="both"/>
              <w:rPr>
                <w:color w:val="000000"/>
              </w:rPr>
            </w:pPr>
            <w:r w:rsidRPr="00795C2D">
              <w:rPr>
                <w:rFonts w:hint="eastAsia"/>
                <w:color w:val="000000"/>
              </w:rPr>
              <w:t>參、服務整合程度</w:t>
            </w:r>
          </w:p>
          <w:p w14:paraId="08F9AB9C" w14:textId="77777777" w:rsidR="00651427" w:rsidRPr="00795C2D" w:rsidRDefault="00651427" w:rsidP="00D67B32">
            <w:pPr>
              <w:pStyle w:val="Textbody"/>
              <w:spacing w:before="100" w:after="100" w:line="0" w:lineRule="atLeast"/>
              <w:jc w:val="both"/>
              <w:rPr>
                <w:color w:val="000000"/>
              </w:rPr>
            </w:pPr>
            <w:r w:rsidRPr="00795C2D">
              <w:rPr>
                <w:rFonts w:hint="eastAsia"/>
                <w:color w:val="000000"/>
              </w:rPr>
              <w:t>肆、應用效益</w:t>
            </w:r>
          </w:p>
          <w:p w14:paraId="6D39426E" w14:textId="77777777" w:rsidR="00651427" w:rsidRPr="00795C2D" w:rsidRDefault="00651427" w:rsidP="00D67B32">
            <w:pPr>
              <w:pStyle w:val="Textbody"/>
              <w:spacing w:before="100" w:after="100" w:line="0" w:lineRule="atLeast"/>
              <w:jc w:val="both"/>
              <w:rPr>
                <w:color w:val="000000"/>
              </w:rPr>
            </w:pPr>
            <w:r w:rsidRPr="00795C2D">
              <w:rPr>
                <w:rFonts w:hint="eastAsia"/>
                <w:color w:val="000000"/>
              </w:rPr>
              <w:t>伍、未來潛力</w:t>
            </w:r>
          </w:p>
        </w:tc>
      </w:tr>
      <w:tr w:rsidR="00651427" w:rsidRPr="00795C2D" w14:paraId="7C13CDC6" w14:textId="77777777" w:rsidTr="00651427">
        <w:trPr>
          <w:jc w:val="center"/>
        </w:trPr>
        <w:tc>
          <w:tcPr>
            <w:tcW w:w="1643" w:type="dxa"/>
            <w:tcBorders>
              <w:top w:val="single" w:sz="2" w:space="0" w:color="000000"/>
              <w:left w:val="single" w:sz="2" w:space="0" w:color="000000"/>
              <w:bottom w:val="single" w:sz="2" w:space="0" w:color="000000"/>
              <w:right w:val="nil"/>
            </w:tcBorders>
            <w:tcMar>
              <w:top w:w="55" w:type="dxa"/>
              <w:left w:w="52" w:type="dxa"/>
              <w:bottom w:w="55" w:type="dxa"/>
              <w:right w:w="55" w:type="dxa"/>
            </w:tcMar>
            <w:vAlign w:val="center"/>
            <w:hideMark/>
          </w:tcPr>
          <w:p w14:paraId="19F7258F" w14:textId="77777777" w:rsidR="00651427" w:rsidRPr="00795C2D" w:rsidRDefault="00651427" w:rsidP="00D67B32">
            <w:pPr>
              <w:pStyle w:val="Textbody"/>
              <w:spacing w:before="100" w:after="100" w:line="0" w:lineRule="atLeast"/>
              <w:jc w:val="both"/>
              <w:rPr>
                <w:b/>
                <w:color w:val="000000"/>
              </w:rPr>
            </w:pPr>
            <w:r w:rsidRPr="00795C2D">
              <w:rPr>
                <w:rFonts w:hint="eastAsia"/>
                <w:b/>
                <w:color w:val="000000"/>
              </w:rPr>
              <w:t>應用或服務相關圖檔</w:t>
            </w:r>
          </w:p>
        </w:tc>
        <w:tc>
          <w:tcPr>
            <w:tcW w:w="8002" w:type="dxa"/>
            <w:gridSpan w:val="3"/>
            <w:tcBorders>
              <w:top w:val="single" w:sz="2" w:space="0" w:color="000000"/>
              <w:left w:val="single" w:sz="2" w:space="0" w:color="000000"/>
              <w:bottom w:val="single" w:sz="2" w:space="0" w:color="000000"/>
              <w:right w:val="single" w:sz="2" w:space="0" w:color="000000"/>
            </w:tcBorders>
            <w:tcMar>
              <w:top w:w="55" w:type="dxa"/>
              <w:left w:w="52" w:type="dxa"/>
              <w:bottom w:w="55" w:type="dxa"/>
              <w:right w:w="55" w:type="dxa"/>
            </w:tcMar>
            <w:hideMark/>
          </w:tcPr>
          <w:p w14:paraId="39689473" w14:textId="77777777" w:rsidR="00651427" w:rsidRPr="00795C2D" w:rsidRDefault="00651427" w:rsidP="00D67B32">
            <w:pPr>
              <w:pStyle w:val="Textbody"/>
              <w:spacing w:before="100" w:after="100" w:line="0" w:lineRule="atLeast"/>
              <w:jc w:val="both"/>
            </w:pPr>
            <w:r w:rsidRPr="00795C2D">
              <w:rPr>
                <w:rFonts w:hint="eastAsia"/>
                <w:color w:val="000000"/>
              </w:rPr>
              <w:t>至多可提供</w:t>
            </w:r>
            <w:r w:rsidRPr="00795C2D">
              <w:rPr>
                <w:color w:val="000000"/>
              </w:rPr>
              <w:t>10</w:t>
            </w:r>
            <w:r w:rsidRPr="00795C2D">
              <w:rPr>
                <w:rFonts w:hint="eastAsia"/>
                <w:color w:val="000000"/>
              </w:rPr>
              <w:t>張圖片，並提供圖片說明。</w:t>
            </w:r>
          </w:p>
        </w:tc>
      </w:tr>
    </w:tbl>
    <w:p w14:paraId="6D6887D2" w14:textId="14362637" w:rsidR="00651427" w:rsidRPr="00D67B32" w:rsidRDefault="00651427" w:rsidP="00D67B32">
      <w:pPr>
        <w:overflowPunct w:val="0"/>
        <w:spacing w:line="500" w:lineRule="exact"/>
        <w:jc w:val="both"/>
        <w:rPr>
          <w:rFonts w:ascii="標楷體" w:eastAsia="標楷體" w:hAnsi="標楷體"/>
          <w:kern w:val="0"/>
          <w:sz w:val="32"/>
          <w:szCs w:val="32"/>
        </w:rPr>
      </w:pPr>
    </w:p>
    <w:sectPr w:rsidR="00651427" w:rsidRPr="00D67B32" w:rsidSect="00616C4B">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8C02" w14:textId="77777777" w:rsidR="00CD1A2D" w:rsidRDefault="00CD1A2D" w:rsidP="00A55A01">
      <w:r>
        <w:separator/>
      </w:r>
    </w:p>
  </w:endnote>
  <w:endnote w:type="continuationSeparator" w:id="0">
    <w:p w14:paraId="08748287" w14:textId="77777777" w:rsidR="00CD1A2D" w:rsidRDefault="00CD1A2D" w:rsidP="00A5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C872" w14:textId="77777777" w:rsidR="00CD1A2D" w:rsidRDefault="00CD1A2D" w:rsidP="00A55A01">
      <w:r>
        <w:separator/>
      </w:r>
    </w:p>
  </w:footnote>
  <w:footnote w:type="continuationSeparator" w:id="0">
    <w:p w14:paraId="65A2A697" w14:textId="77777777" w:rsidR="00CD1A2D" w:rsidRDefault="00CD1A2D" w:rsidP="00A55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D7F"/>
    <w:multiLevelType w:val="multilevel"/>
    <w:tmpl w:val="527268A6"/>
    <w:lvl w:ilvl="0">
      <w:start w:val="1"/>
      <w:numFmt w:val="ideographLegalTraditional"/>
      <w:lvlText w:val="%1、"/>
      <w:lvlJc w:val="left"/>
      <w:pPr>
        <w:ind w:left="400" w:hanging="400"/>
      </w:pPr>
      <w:rPr>
        <w:rFonts w:hint="eastAsia"/>
      </w:rPr>
    </w:lvl>
    <w:lvl w:ilvl="1">
      <w:start w:val="1"/>
      <w:numFmt w:val="taiwaneseCountingThousand"/>
      <w:lvlText w:val="%2、"/>
      <w:lvlJc w:val="left"/>
      <w:pPr>
        <w:ind w:left="600" w:hanging="400"/>
      </w:pPr>
      <w:rPr>
        <w:rFonts w:hint="eastAsia"/>
      </w:rPr>
    </w:lvl>
    <w:lvl w:ilvl="2">
      <w:start w:val="1"/>
      <w:numFmt w:val="taiwaneseCountingThousand"/>
      <w:lvlText w:val="(%3)"/>
      <w:lvlJc w:val="left"/>
      <w:pPr>
        <w:ind w:left="800" w:hanging="400"/>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701E29"/>
    <w:multiLevelType w:val="hybridMultilevel"/>
    <w:tmpl w:val="25801C40"/>
    <w:lvl w:ilvl="0" w:tplc="57FE3956">
      <w:start w:val="1"/>
      <w:numFmt w:val="bullet"/>
      <w:lvlText w:val=""/>
      <w:lvlJc w:val="left"/>
      <w:pPr>
        <w:ind w:left="2085" w:hanging="480"/>
      </w:pPr>
      <w:rPr>
        <w:rFonts w:ascii="Wingdings" w:hAnsi="Wingdings" w:hint="default"/>
      </w:rPr>
    </w:lvl>
    <w:lvl w:ilvl="1" w:tplc="04090003" w:tentative="1">
      <w:start w:val="1"/>
      <w:numFmt w:val="bullet"/>
      <w:lvlText w:val=""/>
      <w:lvlJc w:val="left"/>
      <w:pPr>
        <w:ind w:left="2565" w:hanging="480"/>
      </w:pPr>
      <w:rPr>
        <w:rFonts w:ascii="Wingdings" w:hAnsi="Wingdings" w:hint="default"/>
      </w:rPr>
    </w:lvl>
    <w:lvl w:ilvl="2" w:tplc="04090005" w:tentative="1">
      <w:start w:val="1"/>
      <w:numFmt w:val="bullet"/>
      <w:lvlText w:val=""/>
      <w:lvlJc w:val="left"/>
      <w:pPr>
        <w:ind w:left="3045" w:hanging="480"/>
      </w:pPr>
      <w:rPr>
        <w:rFonts w:ascii="Wingdings" w:hAnsi="Wingdings" w:hint="default"/>
      </w:rPr>
    </w:lvl>
    <w:lvl w:ilvl="3" w:tplc="04090001" w:tentative="1">
      <w:start w:val="1"/>
      <w:numFmt w:val="bullet"/>
      <w:lvlText w:val=""/>
      <w:lvlJc w:val="left"/>
      <w:pPr>
        <w:ind w:left="3525" w:hanging="480"/>
      </w:pPr>
      <w:rPr>
        <w:rFonts w:ascii="Wingdings" w:hAnsi="Wingdings" w:hint="default"/>
      </w:rPr>
    </w:lvl>
    <w:lvl w:ilvl="4" w:tplc="04090003" w:tentative="1">
      <w:start w:val="1"/>
      <w:numFmt w:val="bullet"/>
      <w:lvlText w:val=""/>
      <w:lvlJc w:val="left"/>
      <w:pPr>
        <w:ind w:left="4005" w:hanging="480"/>
      </w:pPr>
      <w:rPr>
        <w:rFonts w:ascii="Wingdings" w:hAnsi="Wingdings" w:hint="default"/>
      </w:rPr>
    </w:lvl>
    <w:lvl w:ilvl="5" w:tplc="04090005" w:tentative="1">
      <w:start w:val="1"/>
      <w:numFmt w:val="bullet"/>
      <w:lvlText w:val=""/>
      <w:lvlJc w:val="left"/>
      <w:pPr>
        <w:ind w:left="4485" w:hanging="480"/>
      </w:pPr>
      <w:rPr>
        <w:rFonts w:ascii="Wingdings" w:hAnsi="Wingdings" w:hint="default"/>
      </w:rPr>
    </w:lvl>
    <w:lvl w:ilvl="6" w:tplc="04090001" w:tentative="1">
      <w:start w:val="1"/>
      <w:numFmt w:val="bullet"/>
      <w:lvlText w:val=""/>
      <w:lvlJc w:val="left"/>
      <w:pPr>
        <w:ind w:left="4965" w:hanging="480"/>
      </w:pPr>
      <w:rPr>
        <w:rFonts w:ascii="Wingdings" w:hAnsi="Wingdings" w:hint="default"/>
      </w:rPr>
    </w:lvl>
    <w:lvl w:ilvl="7" w:tplc="04090003" w:tentative="1">
      <w:start w:val="1"/>
      <w:numFmt w:val="bullet"/>
      <w:lvlText w:val=""/>
      <w:lvlJc w:val="left"/>
      <w:pPr>
        <w:ind w:left="5445" w:hanging="480"/>
      </w:pPr>
      <w:rPr>
        <w:rFonts w:ascii="Wingdings" w:hAnsi="Wingdings" w:hint="default"/>
      </w:rPr>
    </w:lvl>
    <w:lvl w:ilvl="8" w:tplc="04090005" w:tentative="1">
      <w:start w:val="1"/>
      <w:numFmt w:val="bullet"/>
      <w:lvlText w:val=""/>
      <w:lvlJc w:val="left"/>
      <w:pPr>
        <w:ind w:left="5925" w:hanging="480"/>
      </w:pPr>
      <w:rPr>
        <w:rFonts w:ascii="Wingdings" w:hAnsi="Wingdings" w:hint="default"/>
      </w:rPr>
    </w:lvl>
  </w:abstractNum>
  <w:abstractNum w:abstractNumId="2" w15:restartNumberingAfterBreak="0">
    <w:nsid w:val="0C0E2834"/>
    <w:multiLevelType w:val="multilevel"/>
    <w:tmpl w:val="9A1EDF8E"/>
    <w:lvl w:ilvl="0">
      <w:start w:val="1"/>
      <w:numFmt w:val="ideographLegalTraditional"/>
      <w:suff w:val="nothing"/>
      <w:lvlText w:val="%1、"/>
      <w:lvlJc w:val="left"/>
      <w:pPr>
        <w:ind w:left="400" w:hanging="400"/>
      </w:pPr>
      <w:rPr>
        <w:rFonts w:hint="eastAsia"/>
      </w:rPr>
    </w:lvl>
    <w:lvl w:ilvl="1">
      <w:start w:val="1"/>
      <w:numFmt w:val="taiwaneseCountingThousand"/>
      <w:suff w:val="nothing"/>
      <w:lvlText w:val="%2、"/>
      <w:lvlJc w:val="left"/>
      <w:pPr>
        <w:ind w:left="600" w:hanging="400"/>
      </w:pPr>
      <w:rPr>
        <w:rFonts w:hint="eastAsia"/>
      </w:rPr>
    </w:lvl>
    <w:lvl w:ilvl="2">
      <w:start w:val="1"/>
      <w:numFmt w:val="taiwaneseCountingThousand"/>
      <w:suff w:val="nothing"/>
      <w:lvlText w:val="(%3)"/>
      <w:lvlJc w:val="left"/>
      <w:pPr>
        <w:ind w:left="1000" w:hanging="600"/>
      </w:pPr>
      <w:rPr>
        <w:rFonts w:hint="eastAsia"/>
      </w:rPr>
    </w:lvl>
    <w:lvl w:ilvl="3">
      <w:start w:val="1"/>
      <w:numFmt w:val="decimal"/>
      <w:suff w:val="nothing"/>
      <w:lvlText w:val="%4."/>
      <w:lvlJc w:val="left"/>
      <w:pPr>
        <w:ind w:left="907" w:hanging="56"/>
      </w:pPr>
      <w:rPr>
        <w:rFonts w:hint="eastAsia"/>
      </w:rPr>
    </w:lvl>
    <w:lvl w:ilvl="4">
      <w:start w:val="1"/>
      <w:numFmt w:val="decimal"/>
      <w:suff w:val="nothing"/>
      <w:lvlText w:val="(%5) "/>
      <w:lvlJc w:val="left"/>
      <w:pPr>
        <w:ind w:left="1605" w:hanging="645"/>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D882C4D"/>
    <w:multiLevelType w:val="hybridMultilevel"/>
    <w:tmpl w:val="64741A92"/>
    <w:lvl w:ilvl="0" w:tplc="E796EAF2">
      <w:start w:val="1"/>
      <w:numFmt w:val="bullet"/>
      <w:suff w:val="nothing"/>
      <w:lvlText w:val=""/>
      <w:lvlJc w:val="left"/>
      <w:pPr>
        <w:ind w:left="147" w:hanging="14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495D7C"/>
    <w:multiLevelType w:val="multilevel"/>
    <w:tmpl w:val="D6E0093A"/>
    <w:lvl w:ilvl="0">
      <w:start w:val="1"/>
      <w:numFmt w:val="ideographLegalTraditional"/>
      <w:lvlText w:val="%1、"/>
      <w:lvlJc w:val="left"/>
      <w:pPr>
        <w:ind w:left="400" w:hanging="400"/>
      </w:pPr>
      <w:rPr>
        <w:rFonts w:hint="eastAsia"/>
      </w:rPr>
    </w:lvl>
    <w:lvl w:ilvl="1">
      <w:start w:val="1"/>
      <w:numFmt w:val="taiwaneseCountingThousand"/>
      <w:lvlText w:val="%2、"/>
      <w:lvlJc w:val="left"/>
      <w:pPr>
        <w:ind w:left="600" w:hanging="400"/>
      </w:pPr>
      <w:rPr>
        <w:rFonts w:hint="eastAsia"/>
      </w:rPr>
    </w:lvl>
    <w:lvl w:ilvl="2">
      <w:start w:val="1"/>
      <w:numFmt w:val="taiwaneseCountingThousand"/>
      <w:lvlText w:val="(%3)"/>
      <w:lvlJc w:val="left"/>
      <w:pPr>
        <w:ind w:left="800" w:hanging="400"/>
      </w:pPr>
      <w:rPr>
        <w:rFonts w:hint="eastAsia"/>
      </w:rPr>
    </w:lvl>
    <w:lvl w:ilvl="3">
      <w:start w:val="1"/>
      <w:numFmt w:val="decimal"/>
      <w:lvlText w:val="%4."/>
      <w:lvlJc w:val="left"/>
      <w:pPr>
        <w:ind w:left="800" w:hanging="200"/>
      </w:pPr>
      <w:rPr>
        <w:rFonts w:hint="eastAsia"/>
      </w:rPr>
    </w:lvl>
    <w:lvl w:ilvl="4">
      <w:start w:val="1"/>
      <w:numFmt w:val="decimal"/>
      <w:lvlText w:val="(%5) "/>
      <w:lvlJc w:val="left"/>
      <w:pPr>
        <w:ind w:left="1440" w:hanging="48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7A523DD"/>
    <w:multiLevelType w:val="hybridMultilevel"/>
    <w:tmpl w:val="2A0C894A"/>
    <w:lvl w:ilvl="0" w:tplc="E796EAF2">
      <w:start w:val="1"/>
      <w:numFmt w:val="bullet"/>
      <w:suff w:val="nothing"/>
      <w:lvlText w:val=""/>
      <w:lvlJc w:val="left"/>
      <w:pPr>
        <w:ind w:left="147" w:hanging="14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D874499"/>
    <w:multiLevelType w:val="hybridMultilevel"/>
    <w:tmpl w:val="E564EE24"/>
    <w:lvl w:ilvl="0" w:tplc="E796EAF2">
      <w:start w:val="1"/>
      <w:numFmt w:val="bullet"/>
      <w:suff w:val="nothing"/>
      <w:lvlText w:val=""/>
      <w:lvlJc w:val="left"/>
      <w:pPr>
        <w:ind w:left="147" w:hanging="14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96729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5857591"/>
    <w:multiLevelType w:val="hybridMultilevel"/>
    <w:tmpl w:val="76007DF8"/>
    <w:lvl w:ilvl="0" w:tplc="9F003584">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390265"/>
    <w:multiLevelType w:val="hybridMultilevel"/>
    <w:tmpl w:val="48A4297A"/>
    <w:lvl w:ilvl="0" w:tplc="499AEE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625130"/>
    <w:multiLevelType w:val="hybridMultilevel"/>
    <w:tmpl w:val="AB22B8BE"/>
    <w:lvl w:ilvl="0" w:tplc="57FE395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E49196A"/>
    <w:multiLevelType w:val="multilevel"/>
    <w:tmpl w:val="D0B654A8"/>
    <w:lvl w:ilvl="0">
      <w:start w:val="1"/>
      <w:numFmt w:val="ideographLegalTraditional"/>
      <w:lvlText w:val="%1、"/>
      <w:lvlJc w:val="left"/>
      <w:pPr>
        <w:ind w:left="425" w:hanging="425"/>
      </w:pPr>
      <w:rPr>
        <w:rFonts w:hint="eastAsia"/>
      </w:rPr>
    </w:lvl>
    <w:lvl w:ilvl="1">
      <w:start w:val="1"/>
      <w:numFmt w:val="taiwaneseCountingThousand"/>
      <w:lvlText w:val="%2、"/>
      <w:lvlJc w:val="left"/>
      <w:pPr>
        <w:ind w:left="720" w:hanging="480"/>
      </w:pPr>
      <w:rPr>
        <w:rFonts w:hint="eastAsia"/>
      </w:r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654144B"/>
    <w:multiLevelType w:val="hybridMultilevel"/>
    <w:tmpl w:val="82A2F194"/>
    <w:lvl w:ilvl="0" w:tplc="57FE395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63253A9"/>
    <w:multiLevelType w:val="hybridMultilevel"/>
    <w:tmpl w:val="941EA8A2"/>
    <w:lvl w:ilvl="0" w:tplc="E796EAF2">
      <w:start w:val="1"/>
      <w:numFmt w:val="bullet"/>
      <w:suff w:val="nothing"/>
      <w:lvlText w:val=""/>
      <w:lvlJc w:val="left"/>
      <w:pPr>
        <w:ind w:left="147" w:hanging="147"/>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7511DF6"/>
    <w:multiLevelType w:val="multilevel"/>
    <w:tmpl w:val="2722B62A"/>
    <w:lvl w:ilvl="0">
      <w:start w:val="1"/>
      <w:numFmt w:val="taiwaneseCountingThousand"/>
      <w:suff w:val="nothing"/>
      <w:lvlText w:val="%1、"/>
      <w:lvlJc w:val="left"/>
      <w:pPr>
        <w:ind w:left="400" w:hanging="400"/>
      </w:pPr>
      <w:rPr>
        <w:rFonts w:hint="eastAsia"/>
      </w:rPr>
    </w:lvl>
    <w:lvl w:ilvl="1">
      <w:start w:val="1"/>
      <w:numFmt w:val="taiwaneseCountingThousand"/>
      <w:suff w:val="nothing"/>
      <w:lvlText w:val="(%2)"/>
      <w:lvlJc w:val="left"/>
      <w:pPr>
        <w:ind w:left="600" w:hanging="400"/>
      </w:pPr>
      <w:rPr>
        <w:rFonts w:hint="eastAsia"/>
      </w:rPr>
    </w:lvl>
    <w:lvl w:ilvl="2">
      <w:start w:val="1"/>
      <w:numFmt w:val="decimal"/>
      <w:suff w:val="nothing"/>
      <w:lvlText w:val="%3."/>
      <w:lvlJc w:val="left"/>
      <w:pPr>
        <w:ind w:left="1000" w:hanging="600"/>
      </w:pPr>
      <w:rPr>
        <w:rFonts w:ascii="標楷體" w:eastAsia="標楷體" w:hAnsi="標楷體" w:hint="eastAsia"/>
        <w:sz w:val="32"/>
        <w:szCs w:val="32"/>
      </w:rPr>
    </w:lvl>
    <w:lvl w:ilvl="3">
      <w:start w:val="1"/>
      <w:numFmt w:val="decimal"/>
      <w:suff w:val="nothing"/>
      <w:lvlText w:val="(%4)"/>
      <w:lvlJc w:val="left"/>
      <w:pPr>
        <w:ind w:left="907" w:hanging="56"/>
      </w:pPr>
      <w:rPr>
        <w:rFonts w:hint="eastAsia"/>
      </w:rPr>
    </w:lvl>
    <w:lvl w:ilvl="4">
      <w:start w:val="1"/>
      <w:numFmt w:val="upperLetter"/>
      <w:suff w:val="nothing"/>
      <w:lvlText w:val="(%5) "/>
      <w:lvlJc w:val="left"/>
      <w:pPr>
        <w:ind w:left="1605" w:hanging="645"/>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1"/>
  </w:num>
  <w:num w:numId="2">
    <w:abstractNumId w:val="7"/>
  </w:num>
  <w:num w:numId="3">
    <w:abstractNumId w:val="0"/>
  </w:num>
  <w:num w:numId="4">
    <w:abstractNumId w:val="4"/>
  </w:num>
  <w:num w:numId="5">
    <w:abstractNumId w:val="14"/>
  </w:num>
  <w:num w:numId="6">
    <w:abstractNumId w:val="1"/>
  </w:num>
  <w:num w:numId="7">
    <w:abstractNumId w:val="9"/>
  </w:num>
  <w:num w:numId="8">
    <w:abstractNumId w:val="2"/>
  </w:num>
  <w:num w:numId="9">
    <w:abstractNumId w:val="8"/>
  </w:num>
  <w:num w:numId="10">
    <w:abstractNumId w:val="6"/>
  </w:num>
  <w:num w:numId="11">
    <w:abstractNumId w:val="13"/>
  </w:num>
  <w:num w:numId="12">
    <w:abstractNumId w:val="3"/>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DC"/>
    <w:rsid w:val="000161EF"/>
    <w:rsid w:val="00030A48"/>
    <w:rsid w:val="000452E1"/>
    <w:rsid w:val="00050D7F"/>
    <w:rsid w:val="00051ED4"/>
    <w:rsid w:val="000521A1"/>
    <w:rsid w:val="00084060"/>
    <w:rsid w:val="00086E2F"/>
    <w:rsid w:val="00092E6F"/>
    <w:rsid w:val="00093C83"/>
    <w:rsid w:val="000A1801"/>
    <w:rsid w:val="000A5F4A"/>
    <w:rsid w:val="000C746A"/>
    <w:rsid w:val="000D1B9E"/>
    <w:rsid w:val="000E37F7"/>
    <w:rsid w:val="000F4AAE"/>
    <w:rsid w:val="00100C63"/>
    <w:rsid w:val="0011349C"/>
    <w:rsid w:val="001224F2"/>
    <w:rsid w:val="0013709C"/>
    <w:rsid w:val="00142733"/>
    <w:rsid w:val="001567CF"/>
    <w:rsid w:val="00162B24"/>
    <w:rsid w:val="001704CA"/>
    <w:rsid w:val="0019334F"/>
    <w:rsid w:val="0019638B"/>
    <w:rsid w:val="001A39E3"/>
    <w:rsid w:val="001A3D97"/>
    <w:rsid w:val="001A5761"/>
    <w:rsid w:val="001B0B34"/>
    <w:rsid w:val="001B49C3"/>
    <w:rsid w:val="001C0C5B"/>
    <w:rsid w:val="001D3037"/>
    <w:rsid w:val="001E2F02"/>
    <w:rsid w:val="00215809"/>
    <w:rsid w:val="0023231D"/>
    <w:rsid w:val="00261BD3"/>
    <w:rsid w:val="00280658"/>
    <w:rsid w:val="002811E1"/>
    <w:rsid w:val="00282EFA"/>
    <w:rsid w:val="002B0C1B"/>
    <w:rsid w:val="002C3407"/>
    <w:rsid w:val="002D31CC"/>
    <w:rsid w:val="002D591F"/>
    <w:rsid w:val="002E2067"/>
    <w:rsid w:val="002E4EE4"/>
    <w:rsid w:val="002E7594"/>
    <w:rsid w:val="002E760D"/>
    <w:rsid w:val="002F7CFA"/>
    <w:rsid w:val="0031014C"/>
    <w:rsid w:val="003247F4"/>
    <w:rsid w:val="00335EB0"/>
    <w:rsid w:val="0035419D"/>
    <w:rsid w:val="00355BF8"/>
    <w:rsid w:val="00367965"/>
    <w:rsid w:val="00371D53"/>
    <w:rsid w:val="00373D92"/>
    <w:rsid w:val="00375081"/>
    <w:rsid w:val="00375C03"/>
    <w:rsid w:val="003C533F"/>
    <w:rsid w:val="003C56FF"/>
    <w:rsid w:val="0041270C"/>
    <w:rsid w:val="00414A87"/>
    <w:rsid w:val="00415BB5"/>
    <w:rsid w:val="00415C65"/>
    <w:rsid w:val="00424E9D"/>
    <w:rsid w:val="00425B26"/>
    <w:rsid w:val="00431C24"/>
    <w:rsid w:val="00445F88"/>
    <w:rsid w:val="00446EB5"/>
    <w:rsid w:val="00450CD3"/>
    <w:rsid w:val="004549F6"/>
    <w:rsid w:val="00460A50"/>
    <w:rsid w:val="00465FBF"/>
    <w:rsid w:val="0047784C"/>
    <w:rsid w:val="004800AF"/>
    <w:rsid w:val="004849B3"/>
    <w:rsid w:val="00497596"/>
    <w:rsid w:val="004B4FD4"/>
    <w:rsid w:val="004C6345"/>
    <w:rsid w:val="004D52D2"/>
    <w:rsid w:val="004F060A"/>
    <w:rsid w:val="004F5E3E"/>
    <w:rsid w:val="0050190A"/>
    <w:rsid w:val="00501B7D"/>
    <w:rsid w:val="00521DBE"/>
    <w:rsid w:val="00545B4D"/>
    <w:rsid w:val="00550C66"/>
    <w:rsid w:val="00564613"/>
    <w:rsid w:val="0057416B"/>
    <w:rsid w:val="005762D2"/>
    <w:rsid w:val="00580AF6"/>
    <w:rsid w:val="0059389D"/>
    <w:rsid w:val="00596C28"/>
    <w:rsid w:val="005A5BF1"/>
    <w:rsid w:val="005B1F6A"/>
    <w:rsid w:val="005B4960"/>
    <w:rsid w:val="005C02F1"/>
    <w:rsid w:val="005C14B7"/>
    <w:rsid w:val="005F50B8"/>
    <w:rsid w:val="005F536C"/>
    <w:rsid w:val="00602D3B"/>
    <w:rsid w:val="00606C8E"/>
    <w:rsid w:val="0061002F"/>
    <w:rsid w:val="006163C1"/>
    <w:rsid w:val="00616C4B"/>
    <w:rsid w:val="00636AB1"/>
    <w:rsid w:val="00647064"/>
    <w:rsid w:val="00651427"/>
    <w:rsid w:val="00671F48"/>
    <w:rsid w:val="00682F85"/>
    <w:rsid w:val="00690BF8"/>
    <w:rsid w:val="00693B6A"/>
    <w:rsid w:val="006B429A"/>
    <w:rsid w:val="006B4508"/>
    <w:rsid w:val="006B4745"/>
    <w:rsid w:val="006D1B83"/>
    <w:rsid w:val="006D7CCB"/>
    <w:rsid w:val="006E1347"/>
    <w:rsid w:val="006E1ED4"/>
    <w:rsid w:val="006E64D7"/>
    <w:rsid w:val="006F463B"/>
    <w:rsid w:val="007076B7"/>
    <w:rsid w:val="00710677"/>
    <w:rsid w:val="00720256"/>
    <w:rsid w:val="00733507"/>
    <w:rsid w:val="00736442"/>
    <w:rsid w:val="0074663E"/>
    <w:rsid w:val="007602CC"/>
    <w:rsid w:val="007704FC"/>
    <w:rsid w:val="00774758"/>
    <w:rsid w:val="00777CC6"/>
    <w:rsid w:val="0078274F"/>
    <w:rsid w:val="00783055"/>
    <w:rsid w:val="00783276"/>
    <w:rsid w:val="00795C2D"/>
    <w:rsid w:val="007A059E"/>
    <w:rsid w:val="007A197D"/>
    <w:rsid w:val="007A375B"/>
    <w:rsid w:val="007B117F"/>
    <w:rsid w:val="007B16AA"/>
    <w:rsid w:val="007E5BC3"/>
    <w:rsid w:val="007F26B3"/>
    <w:rsid w:val="00815FA0"/>
    <w:rsid w:val="0083395B"/>
    <w:rsid w:val="00842E11"/>
    <w:rsid w:val="00853313"/>
    <w:rsid w:val="008543A6"/>
    <w:rsid w:val="0086475C"/>
    <w:rsid w:val="008808CC"/>
    <w:rsid w:val="00886F6C"/>
    <w:rsid w:val="00895D24"/>
    <w:rsid w:val="008B20F4"/>
    <w:rsid w:val="008B787E"/>
    <w:rsid w:val="008C6639"/>
    <w:rsid w:val="008C7190"/>
    <w:rsid w:val="008D2504"/>
    <w:rsid w:val="008D5D22"/>
    <w:rsid w:val="008E120B"/>
    <w:rsid w:val="008E30DD"/>
    <w:rsid w:val="0094530F"/>
    <w:rsid w:val="009708DC"/>
    <w:rsid w:val="00987F3C"/>
    <w:rsid w:val="00994105"/>
    <w:rsid w:val="009A2E11"/>
    <w:rsid w:val="009A6934"/>
    <w:rsid w:val="009B560B"/>
    <w:rsid w:val="009D326B"/>
    <w:rsid w:val="009D4F67"/>
    <w:rsid w:val="009E4970"/>
    <w:rsid w:val="009E733D"/>
    <w:rsid w:val="00A00228"/>
    <w:rsid w:val="00A04E91"/>
    <w:rsid w:val="00A0506C"/>
    <w:rsid w:val="00A073DF"/>
    <w:rsid w:val="00A348BA"/>
    <w:rsid w:val="00A34B74"/>
    <w:rsid w:val="00A370AA"/>
    <w:rsid w:val="00A46EE0"/>
    <w:rsid w:val="00A532E8"/>
    <w:rsid w:val="00A54B99"/>
    <w:rsid w:val="00A55A01"/>
    <w:rsid w:val="00A847A2"/>
    <w:rsid w:val="00A943E1"/>
    <w:rsid w:val="00AB20BB"/>
    <w:rsid w:val="00AC0A16"/>
    <w:rsid w:val="00AC390A"/>
    <w:rsid w:val="00AD74F0"/>
    <w:rsid w:val="00B06378"/>
    <w:rsid w:val="00B171BE"/>
    <w:rsid w:val="00B30A41"/>
    <w:rsid w:val="00B43E67"/>
    <w:rsid w:val="00B564FD"/>
    <w:rsid w:val="00B5697E"/>
    <w:rsid w:val="00B575B7"/>
    <w:rsid w:val="00B62B46"/>
    <w:rsid w:val="00B7528E"/>
    <w:rsid w:val="00B92E87"/>
    <w:rsid w:val="00B96469"/>
    <w:rsid w:val="00BA22AE"/>
    <w:rsid w:val="00BB5208"/>
    <w:rsid w:val="00BC5888"/>
    <w:rsid w:val="00BC6088"/>
    <w:rsid w:val="00BD2E62"/>
    <w:rsid w:val="00BE6878"/>
    <w:rsid w:val="00C0137D"/>
    <w:rsid w:val="00C046E2"/>
    <w:rsid w:val="00C140C2"/>
    <w:rsid w:val="00C15857"/>
    <w:rsid w:val="00C22108"/>
    <w:rsid w:val="00C35FB4"/>
    <w:rsid w:val="00C4400A"/>
    <w:rsid w:val="00C44FC8"/>
    <w:rsid w:val="00C745E6"/>
    <w:rsid w:val="00C86879"/>
    <w:rsid w:val="00C86E41"/>
    <w:rsid w:val="00C94F74"/>
    <w:rsid w:val="00CB7289"/>
    <w:rsid w:val="00CC0AD6"/>
    <w:rsid w:val="00CC35F2"/>
    <w:rsid w:val="00CC7AE9"/>
    <w:rsid w:val="00CD1A2D"/>
    <w:rsid w:val="00CD6133"/>
    <w:rsid w:val="00CD6891"/>
    <w:rsid w:val="00CE71CD"/>
    <w:rsid w:val="00CF1A6D"/>
    <w:rsid w:val="00D079B8"/>
    <w:rsid w:val="00D13561"/>
    <w:rsid w:val="00D13FC0"/>
    <w:rsid w:val="00D164AF"/>
    <w:rsid w:val="00D22E9C"/>
    <w:rsid w:val="00D241AF"/>
    <w:rsid w:val="00D32512"/>
    <w:rsid w:val="00D3425F"/>
    <w:rsid w:val="00D41463"/>
    <w:rsid w:val="00D414CE"/>
    <w:rsid w:val="00D44A3B"/>
    <w:rsid w:val="00D51FDD"/>
    <w:rsid w:val="00D57FAA"/>
    <w:rsid w:val="00D61E85"/>
    <w:rsid w:val="00D65651"/>
    <w:rsid w:val="00D67B32"/>
    <w:rsid w:val="00D709B0"/>
    <w:rsid w:val="00D86627"/>
    <w:rsid w:val="00D9247E"/>
    <w:rsid w:val="00D9775F"/>
    <w:rsid w:val="00DA014E"/>
    <w:rsid w:val="00DA6DAE"/>
    <w:rsid w:val="00DB52FB"/>
    <w:rsid w:val="00DC2879"/>
    <w:rsid w:val="00DD04B4"/>
    <w:rsid w:val="00DE2A7B"/>
    <w:rsid w:val="00DF7916"/>
    <w:rsid w:val="00E02928"/>
    <w:rsid w:val="00E10C0C"/>
    <w:rsid w:val="00E12446"/>
    <w:rsid w:val="00E17F9D"/>
    <w:rsid w:val="00E20E2E"/>
    <w:rsid w:val="00E3300C"/>
    <w:rsid w:val="00E41720"/>
    <w:rsid w:val="00E46646"/>
    <w:rsid w:val="00E55518"/>
    <w:rsid w:val="00E66009"/>
    <w:rsid w:val="00E9410E"/>
    <w:rsid w:val="00EB3FEF"/>
    <w:rsid w:val="00EB4892"/>
    <w:rsid w:val="00EB6689"/>
    <w:rsid w:val="00EC13FE"/>
    <w:rsid w:val="00EF745B"/>
    <w:rsid w:val="00F00B1F"/>
    <w:rsid w:val="00F112D1"/>
    <w:rsid w:val="00F12C26"/>
    <w:rsid w:val="00F16B65"/>
    <w:rsid w:val="00F233FB"/>
    <w:rsid w:val="00F257CD"/>
    <w:rsid w:val="00F30003"/>
    <w:rsid w:val="00F35DBE"/>
    <w:rsid w:val="00F4022C"/>
    <w:rsid w:val="00F40931"/>
    <w:rsid w:val="00F82D2C"/>
    <w:rsid w:val="00FA2079"/>
    <w:rsid w:val="00FA6896"/>
    <w:rsid w:val="00FB3A64"/>
    <w:rsid w:val="00FC1CFD"/>
    <w:rsid w:val="00FD6AEA"/>
    <w:rsid w:val="00FE0FAC"/>
    <w:rsid w:val="00FE4DDA"/>
    <w:rsid w:val="00FF2A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76FF"/>
  <w15:chartTrackingRefBased/>
  <w15:docId w15:val="{01E21054-F3F3-4098-A16C-5628B8D0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08DC"/>
    <w:rPr>
      <w:color w:val="808080"/>
    </w:rPr>
  </w:style>
  <w:style w:type="paragraph" w:styleId="a4">
    <w:name w:val="List Paragraph"/>
    <w:basedOn w:val="a"/>
    <w:link w:val="a5"/>
    <w:uiPriority w:val="34"/>
    <w:qFormat/>
    <w:rsid w:val="009708DC"/>
    <w:pPr>
      <w:ind w:leftChars="200" w:left="480"/>
    </w:pPr>
  </w:style>
  <w:style w:type="table" w:styleId="a6">
    <w:name w:val="Table Grid"/>
    <w:basedOn w:val="a1"/>
    <w:uiPriority w:val="59"/>
    <w:rsid w:val="00C8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651427"/>
    <w:pPr>
      <w:widowControl w:val="0"/>
      <w:suppressAutoHyphens/>
      <w:overflowPunct w:val="0"/>
      <w:autoSpaceDN w:val="0"/>
    </w:pPr>
    <w:rPr>
      <w:rFonts w:ascii="Times New Roman" w:eastAsia="標楷體" w:hAnsi="Times New Roman" w:cs="Times New Roman"/>
      <w:kern w:val="0"/>
      <w:sz w:val="28"/>
      <w:szCs w:val="24"/>
      <w:lang w:bidi="hi-IN"/>
    </w:rPr>
  </w:style>
  <w:style w:type="paragraph" w:styleId="a7">
    <w:name w:val="Subtitle"/>
    <w:basedOn w:val="Textbody"/>
    <w:next w:val="a8"/>
    <w:link w:val="a9"/>
    <w:uiPriority w:val="11"/>
    <w:qFormat/>
    <w:rsid w:val="00651427"/>
    <w:pPr>
      <w:spacing w:before="60" w:after="120"/>
      <w:jc w:val="center"/>
    </w:pPr>
    <w:rPr>
      <w:sz w:val="36"/>
      <w:szCs w:val="36"/>
    </w:rPr>
  </w:style>
  <w:style w:type="character" w:customStyle="1" w:styleId="a9">
    <w:name w:val="副標題 字元"/>
    <w:basedOn w:val="a0"/>
    <w:link w:val="a7"/>
    <w:uiPriority w:val="11"/>
    <w:rsid w:val="00651427"/>
    <w:rPr>
      <w:rFonts w:ascii="Times New Roman" w:eastAsia="標楷體" w:hAnsi="Times New Roman" w:cs="Times New Roman"/>
      <w:kern w:val="0"/>
      <w:sz w:val="36"/>
      <w:szCs w:val="36"/>
      <w:lang w:bidi="hi-IN"/>
    </w:rPr>
  </w:style>
  <w:style w:type="paragraph" w:styleId="a8">
    <w:name w:val="Body Text"/>
    <w:basedOn w:val="a"/>
    <w:link w:val="aa"/>
    <w:uiPriority w:val="99"/>
    <w:semiHidden/>
    <w:unhideWhenUsed/>
    <w:rsid w:val="00651427"/>
    <w:pPr>
      <w:spacing w:after="120"/>
    </w:pPr>
  </w:style>
  <w:style w:type="character" w:customStyle="1" w:styleId="aa">
    <w:name w:val="本文 字元"/>
    <w:basedOn w:val="a0"/>
    <w:link w:val="a8"/>
    <w:uiPriority w:val="99"/>
    <w:semiHidden/>
    <w:rsid w:val="00651427"/>
  </w:style>
  <w:style w:type="paragraph" w:styleId="ab">
    <w:name w:val="header"/>
    <w:basedOn w:val="a"/>
    <w:link w:val="ac"/>
    <w:uiPriority w:val="99"/>
    <w:unhideWhenUsed/>
    <w:rsid w:val="00A55A01"/>
    <w:pPr>
      <w:tabs>
        <w:tab w:val="center" w:pos="4153"/>
        <w:tab w:val="right" w:pos="8306"/>
      </w:tabs>
      <w:snapToGrid w:val="0"/>
    </w:pPr>
    <w:rPr>
      <w:sz w:val="20"/>
      <w:szCs w:val="20"/>
    </w:rPr>
  </w:style>
  <w:style w:type="character" w:customStyle="1" w:styleId="ac">
    <w:name w:val="頁首 字元"/>
    <w:basedOn w:val="a0"/>
    <w:link w:val="ab"/>
    <w:uiPriority w:val="99"/>
    <w:rsid w:val="00A55A01"/>
    <w:rPr>
      <w:sz w:val="20"/>
      <w:szCs w:val="20"/>
    </w:rPr>
  </w:style>
  <w:style w:type="paragraph" w:styleId="ad">
    <w:name w:val="footer"/>
    <w:basedOn w:val="a"/>
    <w:link w:val="ae"/>
    <w:uiPriority w:val="99"/>
    <w:unhideWhenUsed/>
    <w:rsid w:val="00A55A01"/>
    <w:pPr>
      <w:tabs>
        <w:tab w:val="center" w:pos="4153"/>
        <w:tab w:val="right" w:pos="8306"/>
      </w:tabs>
      <w:snapToGrid w:val="0"/>
    </w:pPr>
    <w:rPr>
      <w:sz w:val="20"/>
      <w:szCs w:val="20"/>
    </w:rPr>
  </w:style>
  <w:style w:type="character" w:customStyle="1" w:styleId="ae">
    <w:name w:val="頁尾 字元"/>
    <w:basedOn w:val="a0"/>
    <w:link w:val="ad"/>
    <w:uiPriority w:val="99"/>
    <w:rsid w:val="00A55A01"/>
    <w:rPr>
      <w:sz w:val="20"/>
      <w:szCs w:val="20"/>
    </w:rPr>
  </w:style>
  <w:style w:type="paragraph" w:styleId="af">
    <w:name w:val="Revision"/>
    <w:hidden/>
    <w:uiPriority w:val="99"/>
    <w:semiHidden/>
    <w:rsid w:val="00F233FB"/>
  </w:style>
  <w:style w:type="paragraph" w:styleId="af0">
    <w:name w:val="footnote text"/>
    <w:basedOn w:val="a"/>
    <w:link w:val="af1"/>
    <w:uiPriority w:val="99"/>
    <w:semiHidden/>
    <w:unhideWhenUsed/>
    <w:rsid w:val="00D32512"/>
    <w:pPr>
      <w:snapToGrid w:val="0"/>
    </w:pPr>
    <w:rPr>
      <w:sz w:val="20"/>
      <w:szCs w:val="20"/>
    </w:rPr>
  </w:style>
  <w:style w:type="character" w:customStyle="1" w:styleId="af1">
    <w:name w:val="註腳文字 字元"/>
    <w:basedOn w:val="a0"/>
    <w:link w:val="af0"/>
    <w:uiPriority w:val="99"/>
    <w:semiHidden/>
    <w:rsid w:val="00D32512"/>
    <w:rPr>
      <w:sz w:val="20"/>
      <w:szCs w:val="20"/>
    </w:rPr>
  </w:style>
  <w:style w:type="character" w:styleId="af2">
    <w:name w:val="footnote reference"/>
    <w:basedOn w:val="a0"/>
    <w:uiPriority w:val="99"/>
    <w:semiHidden/>
    <w:unhideWhenUsed/>
    <w:rsid w:val="00D32512"/>
    <w:rPr>
      <w:vertAlign w:val="superscript"/>
    </w:rPr>
  </w:style>
  <w:style w:type="character" w:styleId="af3">
    <w:name w:val="Hyperlink"/>
    <w:basedOn w:val="a0"/>
    <w:uiPriority w:val="99"/>
    <w:unhideWhenUsed/>
    <w:rsid w:val="00371D53"/>
    <w:rPr>
      <w:color w:val="0563C1" w:themeColor="hyperlink"/>
      <w:u w:val="single"/>
    </w:rPr>
  </w:style>
  <w:style w:type="character" w:styleId="af4">
    <w:name w:val="Unresolved Mention"/>
    <w:basedOn w:val="a0"/>
    <w:uiPriority w:val="99"/>
    <w:semiHidden/>
    <w:unhideWhenUsed/>
    <w:rsid w:val="00371D53"/>
    <w:rPr>
      <w:color w:val="605E5C"/>
      <w:shd w:val="clear" w:color="auto" w:fill="E1DFDD"/>
    </w:rPr>
  </w:style>
  <w:style w:type="character" w:customStyle="1" w:styleId="a5">
    <w:name w:val="清單段落 字元"/>
    <w:basedOn w:val="a0"/>
    <w:link w:val="a4"/>
    <w:uiPriority w:val="34"/>
    <w:rsid w:val="0011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0DB00827B84C7F9A550A6D2B44B89F"/>
        <w:category>
          <w:name w:val="一般"/>
          <w:gallery w:val="placeholder"/>
        </w:category>
        <w:types>
          <w:type w:val="bbPlcHdr"/>
        </w:types>
        <w:behaviors>
          <w:behavior w:val="content"/>
        </w:behaviors>
        <w:guid w:val="{3EC630B1-D9A7-4842-AEBE-40EC1E3B7D0B}"/>
      </w:docPartPr>
      <w:docPartBody>
        <w:p w:rsidR="00487CC1" w:rsidRDefault="00C9159B">
          <w:r w:rsidRPr="00155A79">
            <w:rPr>
              <w:rStyle w:val="a3"/>
              <w:rFonts w:hint="eastAsia"/>
            </w:rPr>
            <w:t>[</w:t>
          </w:r>
          <w:r w:rsidRPr="00155A79">
            <w:rPr>
              <w:rStyle w:val="a3"/>
              <w:rFonts w:hint="eastAsia"/>
            </w:rPr>
            <w:t>標題</w:t>
          </w:r>
          <w:r w:rsidRPr="00155A79">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9B"/>
    <w:rsid w:val="000042AE"/>
    <w:rsid w:val="000579C6"/>
    <w:rsid w:val="000A5470"/>
    <w:rsid w:val="000A6368"/>
    <w:rsid w:val="00104B60"/>
    <w:rsid w:val="00150B88"/>
    <w:rsid w:val="002D282B"/>
    <w:rsid w:val="002E3918"/>
    <w:rsid w:val="002F4C48"/>
    <w:rsid w:val="00324306"/>
    <w:rsid w:val="00351B4D"/>
    <w:rsid w:val="00382E4D"/>
    <w:rsid w:val="00384669"/>
    <w:rsid w:val="003D6461"/>
    <w:rsid w:val="00427336"/>
    <w:rsid w:val="00431AEF"/>
    <w:rsid w:val="00487CC1"/>
    <w:rsid w:val="0059608E"/>
    <w:rsid w:val="005E4A5E"/>
    <w:rsid w:val="005F425B"/>
    <w:rsid w:val="00651548"/>
    <w:rsid w:val="0066664A"/>
    <w:rsid w:val="006C0A33"/>
    <w:rsid w:val="006C7314"/>
    <w:rsid w:val="008430E1"/>
    <w:rsid w:val="008E1BF3"/>
    <w:rsid w:val="00932DCC"/>
    <w:rsid w:val="00992940"/>
    <w:rsid w:val="009C64D0"/>
    <w:rsid w:val="009F6AF3"/>
    <w:rsid w:val="00A35EF4"/>
    <w:rsid w:val="00AB789A"/>
    <w:rsid w:val="00B30118"/>
    <w:rsid w:val="00B52B84"/>
    <w:rsid w:val="00B72FD2"/>
    <w:rsid w:val="00B77678"/>
    <w:rsid w:val="00B80245"/>
    <w:rsid w:val="00C027FF"/>
    <w:rsid w:val="00C61AF2"/>
    <w:rsid w:val="00C80120"/>
    <w:rsid w:val="00C9159B"/>
    <w:rsid w:val="00CC3233"/>
    <w:rsid w:val="00D168B4"/>
    <w:rsid w:val="00D93D60"/>
    <w:rsid w:val="00DB1447"/>
    <w:rsid w:val="00DD4351"/>
    <w:rsid w:val="00E56F49"/>
    <w:rsid w:val="00E80436"/>
    <w:rsid w:val="00ED1524"/>
    <w:rsid w:val="00ED2DA8"/>
    <w:rsid w:val="00ED4277"/>
    <w:rsid w:val="00F23C9A"/>
    <w:rsid w:val="00F278AA"/>
    <w:rsid w:val="00F34C20"/>
    <w:rsid w:val="00F36F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4B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CBAB-B5BE-4B49-A724-68A349E1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考試院及所屬機關政府資料開放及應用獎勵措施</dc:title>
  <dc:subject/>
  <dc:creator>曾沛恩</dc:creator>
  <cp:keywords/>
  <dc:description/>
  <cp:lastModifiedBy>曾沛恩</cp:lastModifiedBy>
  <cp:revision>14</cp:revision>
  <cp:lastPrinted>2022-12-15T02:20:00Z</cp:lastPrinted>
  <dcterms:created xsi:type="dcterms:W3CDTF">2022-12-15T01:12:00Z</dcterms:created>
  <dcterms:modified xsi:type="dcterms:W3CDTF">2023-12-25T03:04:00Z</dcterms:modified>
</cp:coreProperties>
</file>