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</w:t>
      </w:r>
      <w:proofErr w:type="gramStart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卹</w:t>
      </w:r>
      <w:proofErr w:type="gramEnd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基金係依軍、公、教人員相關退撫法制規定，由政府與參加人員共同撥繳費用所成立，目的係為保障軍、公、教人員之退撫所得，健全政府人事體制，穩固軍公教人員退撫經費來源，發揮安老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10</w:t>
      </w:r>
      <w:r w:rsidR="002E3A33">
        <w:rPr>
          <w:rFonts w:eastAsia="標楷體" w:hint="eastAsia"/>
          <w:b/>
          <w:sz w:val="28"/>
          <w:szCs w:val="28"/>
        </w:rPr>
        <w:t>7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="002E2D12"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r w:rsidR="00426AD4">
        <w:rPr>
          <w:rFonts w:eastAsia="標楷體" w:hAnsi="標楷體" w:hint="eastAsia"/>
          <w:sz w:val="28"/>
          <w:szCs w:val="28"/>
        </w:rPr>
        <w:t>10</w:t>
      </w:r>
      <w:r w:rsidR="002E3A33">
        <w:rPr>
          <w:rFonts w:eastAsia="標楷體" w:hAnsi="標楷體" w:hint="eastAsia"/>
          <w:sz w:val="28"/>
          <w:szCs w:val="28"/>
        </w:rPr>
        <w:t>7</w:t>
      </w:r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2E3A33">
        <w:rPr>
          <w:rFonts w:eastAsia="標楷體" w:hAnsi="標楷體"/>
          <w:sz w:val="28"/>
          <w:szCs w:val="28"/>
        </w:rPr>
        <w:t>769</w:t>
      </w:r>
      <w:r w:rsidRPr="00DA14C7">
        <w:rPr>
          <w:rFonts w:eastAsia="標楷體" w:hAnsi="標楷體"/>
          <w:sz w:val="28"/>
          <w:szCs w:val="28"/>
        </w:rPr>
        <w:t>億</w:t>
      </w:r>
      <w:r w:rsidR="002E3A33">
        <w:rPr>
          <w:rFonts w:eastAsia="標楷體" w:hAnsi="標楷體"/>
          <w:sz w:val="28"/>
          <w:szCs w:val="28"/>
        </w:rPr>
        <w:t>8</w:t>
      </w:r>
      <w:r w:rsidR="002E3A33">
        <w:rPr>
          <w:rFonts w:eastAsia="標楷體" w:hAnsi="標楷體" w:hint="eastAsia"/>
          <w:sz w:val="28"/>
          <w:szCs w:val="28"/>
        </w:rPr>
        <w:t>72</w:t>
      </w:r>
      <w:r w:rsidRPr="00DA14C7">
        <w:rPr>
          <w:rFonts w:eastAsia="標楷體" w:hAnsi="標楷體"/>
          <w:sz w:val="28"/>
          <w:szCs w:val="28"/>
        </w:rPr>
        <w:t>萬元，較上年度</w:t>
      </w:r>
      <w:r w:rsidR="002E3A33">
        <w:rPr>
          <w:rFonts w:eastAsia="標楷體" w:hAnsi="標楷體"/>
          <w:sz w:val="28"/>
          <w:szCs w:val="28"/>
        </w:rPr>
        <w:t>1,152</w:t>
      </w:r>
      <w:r w:rsidRPr="00DA14C7">
        <w:rPr>
          <w:rFonts w:eastAsia="標楷體" w:hAnsi="標楷體"/>
          <w:sz w:val="28"/>
          <w:szCs w:val="28"/>
        </w:rPr>
        <w:t>億</w:t>
      </w:r>
      <w:r w:rsidR="002E3A33">
        <w:rPr>
          <w:rFonts w:eastAsia="標楷體" w:hAnsi="標楷體"/>
          <w:sz w:val="28"/>
          <w:szCs w:val="28"/>
        </w:rPr>
        <w:t>2,938</w:t>
      </w:r>
      <w:r w:rsidRPr="00DA14C7">
        <w:rPr>
          <w:rFonts w:eastAsia="標楷體" w:hAnsi="標楷體"/>
          <w:sz w:val="28"/>
          <w:szCs w:val="28"/>
        </w:rPr>
        <w:t>萬</w:t>
      </w:r>
      <w:r w:rsidR="00DB4621" w:rsidRPr="00DA14C7">
        <w:rPr>
          <w:rFonts w:eastAsia="標楷體" w:hAnsi="標楷體"/>
          <w:sz w:val="28"/>
          <w:szCs w:val="28"/>
        </w:rPr>
        <w:t>元，</w:t>
      </w:r>
      <w:r w:rsidR="002E3A33">
        <w:rPr>
          <w:rFonts w:eastAsia="標楷體" w:hAnsi="標楷體" w:hint="eastAsia"/>
          <w:sz w:val="28"/>
          <w:szCs w:val="28"/>
          <w:lang w:eastAsia="zh-HK"/>
        </w:rPr>
        <w:t>減少</w:t>
      </w:r>
      <w:r w:rsidR="002E3A33">
        <w:rPr>
          <w:rFonts w:eastAsia="標楷體" w:hAnsi="標楷體" w:hint="eastAsia"/>
          <w:sz w:val="28"/>
          <w:szCs w:val="28"/>
        </w:rPr>
        <w:t>383</w:t>
      </w:r>
      <w:r w:rsidRPr="00DA14C7">
        <w:rPr>
          <w:rFonts w:eastAsia="標楷體" w:hAnsi="標楷體"/>
          <w:sz w:val="28"/>
          <w:szCs w:val="28"/>
        </w:rPr>
        <w:t>億</w:t>
      </w:r>
      <w:r w:rsidR="002E3A33">
        <w:rPr>
          <w:rFonts w:eastAsia="標楷體" w:hAnsi="標楷體"/>
          <w:sz w:val="28"/>
          <w:szCs w:val="28"/>
        </w:rPr>
        <w:t>2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2E3A33">
        <w:rPr>
          <w:rFonts w:eastAsia="標楷體" w:hAnsi="標楷體" w:hint="eastAsia"/>
          <w:sz w:val="28"/>
          <w:szCs w:val="28"/>
        </w:rPr>
        <w:t>066</w:t>
      </w:r>
      <w:r w:rsidRPr="00DA14C7">
        <w:rPr>
          <w:rFonts w:eastAsia="標楷體" w:hAnsi="標楷體"/>
          <w:sz w:val="28"/>
          <w:szCs w:val="28"/>
        </w:rPr>
        <w:t>萬元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971D44">
        <w:rPr>
          <w:rFonts w:eastAsia="標楷體" w:hAnsi="標楷體" w:hint="eastAsia"/>
          <w:sz w:val="28"/>
          <w:szCs w:val="28"/>
        </w:rPr>
        <w:t>-33.26%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971D44">
        <w:rPr>
          <w:rFonts w:eastAsia="標楷體" w:hAnsi="標楷體" w:hint="eastAsia"/>
          <w:sz w:val="28"/>
          <w:szCs w:val="28"/>
          <w:lang w:eastAsia="zh-HK"/>
        </w:rPr>
        <w:t>減少</w:t>
      </w:r>
      <w:r w:rsidR="00BE3A8E">
        <w:rPr>
          <w:rFonts w:eastAsia="標楷體" w:hAnsi="標楷體" w:hint="eastAsia"/>
          <w:sz w:val="28"/>
          <w:szCs w:val="28"/>
          <w:lang w:eastAsia="zh-HK"/>
        </w:rPr>
        <w:t>約</w:t>
      </w:r>
      <w:r w:rsidR="00971D44">
        <w:rPr>
          <w:rFonts w:eastAsia="標楷體" w:hAnsi="標楷體" w:hint="eastAsia"/>
          <w:sz w:val="28"/>
          <w:szCs w:val="28"/>
          <w:lang w:eastAsia="zh-HK"/>
        </w:rPr>
        <w:t>444</w:t>
      </w:r>
      <w:r w:rsidR="00D04D53">
        <w:rPr>
          <w:rFonts w:eastAsia="標楷體" w:hAnsi="標楷體" w:hint="eastAsia"/>
          <w:sz w:val="28"/>
          <w:szCs w:val="28"/>
        </w:rPr>
        <w:t>億元所致。</w:t>
      </w:r>
      <w:r w:rsidRPr="00DA14C7">
        <w:rPr>
          <w:rFonts w:eastAsia="標楷體" w:hAnsi="標楷體"/>
          <w:sz w:val="28"/>
          <w:szCs w:val="28"/>
        </w:rPr>
        <w:t>其中基金</w:t>
      </w:r>
      <w:r w:rsidR="002418EB">
        <w:rPr>
          <w:rFonts w:eastAsia="標楷體" w:hAnsi="標楷體" w:hint="eastAsia"/>
          <w:sz w:val="28"/>
          <w:szCs w:val="28"/>
        </w:rPr>
        <w:t>收繳數</w:t>
      </w:r>
      <w:r w:rsidRPr="00DA14C7">
        <w:rPr>
          <w:rFonts w:eastAsia="標楷體" w:hAnsi="標楷體"/>
          <w:sz w:val="28"/>
          <w:szCs w:val="28"/>
        </w:rPr>
        <w:t>為</w:t>
      </w:r>
      <w:r w:rsidR="00971D44">
        <w:rPr>
          <w:rFonts w:eastAsia="標楷體" w:hAnsi="標楷體"/>
          <w:sz w:val="28"/>
          <w:szCs w:val="28"/>
        </w:rPr>
        <w:t>658</w:t>
      </w:r>
      <w:r w:rsidRPr="00DA14C7">
        <w:rPr>
          <w:rFonts w:eastAsia="標楷體" w:hAnsi="標楷體"/>
          <w:sz w:val="28"/>
          <w:szCs w:val="28"/>
        </w:rPr>
        <w:t>億</w:t>
      </w:r>
      <w:r w:rsidR="00971D44">
        <w:rPr>
          <w:rFonts w:eastAsia="標楷體" w:hAnsi="標楷體"/>
          <w:sz w:val="28"/>
          <w:szCs w:val="28"/>
        </w:rPr>
        <w:t>4</w:t>
      </w:r>
      <w:r w:rsidR="002418EB">
        <w:rPr>
          <w:rFonts w:eastAsia="標楷體" w:hAnsi="標楷體" w:hint="eastAsia"/>
          <w:sz w:val="28"/>
          <w:szCs w:val="28"/>
        </w:rPr>
        <w:t>,</w:t>
      </w:r>
      <w:r w:rsidR="00971D44">
        <w:rPr>
          <w:rFonts w:eastAsia="標楷體" w:hAnsi="標楷體" w:hint="eastAsia"/>
          <w:sz w:val="28"/>
          <w:szCs w:val="28"/>
        </w:rPr>
        <w:t>122</w:t>
      </w:r>
      <w:r w:rsidRPr="00DA14C7">
        <w:rPr>
          <w:rFonts w:eastAsia="標楷體" w:hAnsi="標楷體"/>
          <w:sz w:val="28"/>
          <w:szCs w:val="28"/>
        </w:rPr>
        <w:t>萬</w:t>
      </w:r>
      <w:r w:rsidR="00971D44">
        <w:rPr>
          <w:rFonts w:eastAsia="標楷體" w:hAnsi="標楷體"/>
          <w:sz w:val="28"/>
          <w:szCs w:val="28"/>
        </w:rPr>
        <w:t>9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元，係來自參加人員每月所繳納的款項，平均每月</w:t>
      </w:r>
      <w:r w:rsidR="00971D44">
        <w:rPr>
          <w:rFonts w:eastAsia="標楷體" w:hAnsi="標楷體"/>
          <w:sz w:val="28"/>
          <w:szCs w:val="28"/>
        </w:rPr>
        <w:t>54</w:t>
      </w:r>
      <w:r w:rsidRPr="00DA14C7">
        <w:rPr>
          <w:rFonts w:eastAsia="標楷體" w:hAnsi="標楷體"/>
          <w:sz w:val="28"/>
          <w:szCs w:val="28"/>
        </w:rPr>
        <w:t>億</w:t>
      </w:r>
      <w:r w:rsidR="00971D44">
        <w:rPr>
          <w:rFonts w:eastAsia="標楷體" w:hAnsi="標楷體"/>
          <w:sz w:val="28"/>
          <w:szCs w:val="28"/>
        </w:rPr>
        <w:t>8,676</w:t>
      </w:r>
      <w:r w:rsidRPr="00DA14C7">
        <w:rPr>
          <w:rFonts w:eastAsia="標楷體" w:hAnsi="標楷體"/>
          <w:sz w:val="28"/>
          <w:szCs w:val="28"/>
        </w:rPr>
        <w:t>萬</w:t>
      </w:r>
      <w:r w:rsidR="00971D44">
        <w:rPr>
          <w:rFonts w:eastAsia="標楷體" w:hAnsi="標楷體"/>
          <w:sz w:val="28"/>
          <w:szCs w:val="28"/>
        </w:rPr>
        <w:t>9</w:t>
      </w:r>
      <w:r w:rsidR="00971D44">
        <w:rPr>
          <w:rFonts w:eastAsia="標楷體" w:hAnsi="標楷體" w:hint="eastAsia"/>
          <w:sz w:val="28"/>
          <w:szCs w:val="28"/>
          <w:lang w:eastAsia="zh-HK"/>
        </w:rPr>
        <w:t>千</w:t>
      </w:r>
      <w:r w:rsidRPr="00DA14C7">
        <w:rPr>
          <w:rFonts w:eastAsia="標楷體" w:hAnsi="標楷體"/>
          <w:sz w:val="28"/>
          <w:szCs w:val="28"/>
        </w:rPr>
        <w:t>元；財務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971D44">
        <w:rPr>
          <w:rFonts w:eastAsia="標楷體" w:hAnsi="標楷體" w:hint="eastAsia"/>
          <w:sz w:val="28"/>
          <w:szCs w:val="28"/>
          <w:lang w:eastAsia="zh-HK"/>
        </w:rPr>
        <w:t>則為</w:t>
      </w:r>
      <w:r w:rsidR="00971D44">
        <w:rPr>
          <w:rFonts w:eastAsia="標楷體" w:hAnsi="標楷體" w:hint="eastAsia"/>
          <w:sz w:val="28"/>
          <w:szCs w:val="28"/>
          <w:lang w:eastAsia="zh-HK"/>
        </w:rPr>
        <w:t>110</w:t>
      </w:r>
      <w:r w:rsidRPr="00DA14C7">
        <w:rPr>
          <w:rFonts w:eastAsia="標楷體" w:hAnsi="標楷體"/>
          <w:sz w:val="28"/>
          <w:szCs w:val="28"/>
        </w:rPr>
        <w:t>億</w:t>
      </w:r>
      <w:r w:rsidR="00971D44">
        <w:rPr>
          <w:rFonts w:eastAsia="標楷體" w:hAnsi="標楷體"/>
          <w:sz w:val="28"/>
          <w:szCs w:val="28"/>
        </w:rPr>
        <w:t>6</w:t>
      </w:r>
      <w:r w:rsidR="00DD71E9">
        <w:rPr>
          <w:rFonts w:eastAsia="標楷體" w:hAnsi="標楷體" w:hint="eastAsia"/>
          <w:sz w:val="28"/>
          <w:szCs w:val="28"/>
        </w:rPr>
        <w:t>,</w:t>
      </w:r>
      <w:r w:rsidR="00971D44">
        <w:rPr>
          <w:rFonts w:eastAsia="標楷體" w:hAnsi="標楷體" w:hint="eastAsia"/>
          <w:sz w:val="28"/>
          <w:szCs w:val="28"/>
        </w:rPr>
        <w:t>749</w:t>
      </w:r>
      <w:r w:rsidRPr="00DA14C7">
        <w:rPr>
          <w:rFonts w:eastAsia="標楷體" w:hAnsi="標楷體"/>
          <w:sz w:val="28"/>
          <w:szCs w:val="28"/>
        </w:rPr>
        <w:t>萬</w:t>
      </w:r>
      <w:r w:rsidR="00971D44">
        <w:rPr>
          <w:rFonts w:eastAsia="標楷體" w:hAnsi="標楷體"/>
          <w:sz w:val="28"/>
          <w:szCs w:val="28"/>
        </w:rPr>
        <w:t>1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元。</w:t>
      </w:r>
    </w:p>
    <w:p w:rsidR="00992E05" w:rsidRDefault="00F12272" w:rsidP="00053C94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6F6449">
        <w:rPr>
          <w:rFonts w:eastAsia="標楷體" w:hAnsi="標楷體" w:hint="eastAsia"/>
          <w:sz w:val="28"/>
          <w:szCs w:val="28"/>
        </w:rPr>
        <w:t>10</w:t>
      </w:r>
      <w:r w:rsidR="00F83E37">
        <w:rPr>
          <w:rFonts w:eastAsia="標楷體" w:hAnsi="標楷體" w:hint="eastAsia"/>
          <w:sz w:val="28"/>
          <w:szCs w:val="28"/>
        </w:rPr>
        <w:t>7</w:t>
      </w:r>
      <w:proofErr w:type="gramEnd"/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D421A9">
        <w:rPr>
          <w:rFonts w:eastAsia="標楷體" w:hAnsi="標楷體" w:hint="eastAsia"/>
          <w:sz w:val="28"/>
          <w:szCs w:val="28"/>
        </w:rPr>
        <w:t>1,0</w:t>
      </w:r>
      <w:r w:rsidR="00F83E37">
        <w:rPr>
          <w:rFonts w:eastAsia="標楷體" w:hAnsi="標楷體" w:hint="eastAsia"/>
          <w:sz w:val="28"/>
          <w:szCs w:val="28"/>
        </w:rPr>
        <w:t>72</w:t>
      </w:r>
      <w:r w:rsidRPr="00D060CF">
        <w:rPr>
          <w:rFonts w:eastAsia="標楷體" w:hAnsi="標楷體"/>
          <w:sz w:val="28"/>
          <w:szCs w:val="28"/>
        </w:rPr>
        <w:t>億</w:t>
      </w:r>
      <w:r w:rsidR="00F83E37">
        <w:rPr>
          <w:rFonts w:eastAsia="標楷體" w:hAnsi="標楷體"/>
          <w:sz w:val="28"/>
          <w:szCs w:val="28"/>
        </w:rPr>
        <w:t>1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F83E37">
        <w:rPr>
          <w:rFonts w:eastAsia="標楷體" w:hAnsi="標楷體" w:hint="eastAsia"/>
          <w:sz w:val="28"/>
          <w:szCs w:val="28"/>
        </w:rPr>
        <w:t>749</w:t>
      </w:r>
      <w:r w:rsidRPr="00D060CF">
        <w:rPr>
          <w:rFonts w:eastAsia="標楷體" w:hAnsi="標楷體"/>
          <w:sz w:val="28"/>
          <w:szCs w:val="28"/>
        </w:rPr>
        <w:t>萬</w:t>
      </w:r>
      <w:r w:rsidR="00F83E37">
        <w:rPr>
          <w:rFonts w:eastAsia="標楷體" w:hAnsi="標楷體"/>
          <w:sz w:val="28"/>
          <w:szCs w:val="28"/>
        </w:rPr>
        <w:t>1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5A705E" w:rsidRPr="00D060CF">
        <w:rPr>
          <w:rFonts w:eastAsia="標楷體" w:hAnsi="標楷體"/>
          <w:sz w:val="28"/>
          <w:szCs w:val="28"/>
        </w:rPr>
        <w:t>為</w:t>
      </w:r>
      <w:r w:rsidR="00F83E37">
        <w:rPr>
          <w:rFonts w:eastAsia="標楷體" w:hAnsi="標楷體"/>
          <w:sz w:val="28"/>
          <w:szCs w:val="28"/>
        </w:rPr>
        <w:t>1,049</w:t>
      </w:r>
      <w:r w:rsidR="005A705E" w:rsidRPr="00D060CF">
        <w:rPr>
          <w:rFonts w:eastAsia="標楷體" w:hAnsi="標楷體"/>
          <w:sz w:val="28"/>
          <w:szCs w:val="28"/>
        </w:rPr>
        <w:t>億</w:t>
      </w:r>
      <w:r w:rsidR="00D421A9">
        <w:rPr>
          <w:rFonts w:eastAsia="標楷體" w:hAnsi="標楷體" w:hint="eastAsia"/>
          <w:sz w:val="28"/>
          <w:szCs w:val="28"/>
        </w:rPr>
        <w:t>5</w:t>
      </w:r>
      <w:r w:rsidR="005A705E">
        <w:rPr>
          <w:rFonts w:eastAsia="標楷體" w:hAnsi="標楷體" w:hint="eastAsia"/>
          <w:sz w:val="28"/>
          <w:szCs w:val="28"/>
        </w:rPr>
        <w:t>,</w:t>
      </w:r>
      <w:r w:rsidR="00F83E37">
        <w:rPr>
          <w:rFonts w:eastAsia="標楷體" w:hAnsi="標楷體" w:hint="eastAsia"/>
          <w:sz w:val="28"/>
          <w:szCs w:val="28"/>
        </w:rPr>
        <w:t>014</w:t>
      </w:r>
      <w:r w:rsidR="005A705E" w:rsidRPr="00D060CF">
        <w:rPr>
          <w:rFonts w:eastAsia="標楷體" w:hAnsi="標楷體"/>
          <w:sz w:val="28"/>
          <w:szCs w:val="28"/>
        </w:rPr>
        <w:t>萬</w:t>
      </w:r>
      <w:r w:rsidR="00F83E37">
        <w:rPr>
          <w:rFonts w:eastAsia="標楷體" w:hAnsi="標楷體"/>
          <w:sz w:val="28"/>
          <w:szCs w:val="28"/>
        </w:rPr>
        <w:t>8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</w:t>
      </w:r>
      <w:r w:rsidR="00D421A9">
        <w:rPr>
          <w:rFonts w:eastAsia="標楷體" w:hAnsi="標楷體" w:hint="eastAsia"/>
          <w:sz w:val="28"/>
          <w:szCs w:val="28"/>
        </w:rPr>
        <w:t>增加</w:t>
      </w:r>
      <w:r w:rsidR="00BE3A8E">
        <w:rPr>
          <w:rFonts w:eastAsia="標楷體" w:hAnsi="標楷體" w:hint="eastAsia"/>
          <w:sz w:val="28"/>
          <w:szCs w:val="28"/>
        </w:rPr>
        <w:t>22</w:t>
      </w:r>
      <w:r w:rsidR="00D421A9">
        <w:rPr>
          <w:rFonts w:eastAsia="標楷體" w:hAnsi="標楷體" w:hint="eastAsia"/>
          <w:sz w:val="28"/>
          <w:szCs w:val="28"/>
        </w:rPr>
        <w:t>億</w:t>
      </w:r>
      <w:r w:rsidR="00BE3A8E">
        <w:rPr>
          <w:rFonts w:eastAsia="標楷體" w:hAnsi="標楷體" w:hint="eastAsia"/>
          <w:sz w:val="28"/>
          <w:szCs w:val="28"/>
        </w:rPr>
        <w:t>6</w:t>
      </w:r>
      <w:r w:rsidR="00DE6151">
        <w:rPr>
          <w:rFonts w:eastAsia="標楷體" w:hAnsi="標楷體" w:hint="eastAsia"/>
          <w:sz w:val="28"/>
          <w:szCs w:val="28"/>
        </w:rPr>
        <w:t>,</w:t>
      </w:r>
      <w:r w:rsidR="00BE3A8E">
        <w:rPr>
          <w:rFonts w:eastAsia="標楷體" w:hAnsi="標楷體" w:hint="eastAsia"/>
          <w:sz w:val="28"/>
          <w:szCs w:val="28"/>
        </w:rPr>
        <w:t>734</w:t>
      </w:r>
      <w:r w:rsidR="005A705E" w:rsidRPr="00DA14C7">
        <w:rPr>
          <w:rFonts w:eastAsia="標楷體" w:hAnsi="標楷體"/>
          <w:sz w:val="28"/>
          <w:szCs w:val="28"/>
        </w:rPr>
        <w:t>萬</w:t>
      </w:r>
      <w:r w:rsidR="00BE3A8E">
        <w:rPr>
          <w:rFonts w:eastAsia="標楷體" w:hAnsi="標楷體"/>
          <w:sz w:val="28"/>
          <w:szCs w:val="28"/>
        </w:rPr>
        <w:t>3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A14C7">
        <w:rPr>
          <w:rFonts w:eastAsia="標楷體" w:hAnsi="標楷體"/>
          <w:sz w:val="28"/>
          <w:szCs w:val="28"/>
        </w:rPr>
        <w:t>元</w:t>
      </w:r>
      <w:r w:rsidR="005A705E">
        <w:rPr>
          <w:rFonts w:eastAsia="標楷體" w:hAnsi="標楷體" w:hint="eastAsia"/>
          <w:sz w:val="28"/>
          <w:szCs w:val="28"/>
        </w:rPr>
        <w:t>（</w:t>
      </w:r>
      <w:r w:rsidR="00BE3A8E">
        <w:rPr>
          <w:rFonts w:eastAsia="標楷體" w:hAnsi="標楷體" w:hint="eastAsia"/>
          <w:sz w:val="28"/>
          <w:szCs w:val="28"/>
        </w:rPr>
        <w:t>+2.16</w:t>
      </w:r>
      <w:r w:rsidR="005A705E">
        <w:rPr>
          <w:rFonts w:eastAsia="標楷體" w:hAnsi="標楷體" w:hint="eastAsia"/>
          <w:sz w:val="28"/>
          <w:szCs w:val="28"/>
        </w:rPr>
        <w:t>%</w:t>
      </w:r>
      <w:r w:rsidR="005A705E">
        <w:rPr>
          <w:rFonts w:eastAsia="標楷體" w:hAnsi="標楷體"/>
          <w:sz w:val="28"/>
          <w:szCs w:val="28"/>
        </w:rPr>
        <w:t>）</w:t>
      </w:r>
      <w:r w:rsidR="005A705E">
        <w:rPr>
          <w:rFonts w:eastAsia="標楷體" w:hAnsi="標楷體" w:hint="eastAsia"/>
          <w:sz w:val="28"/>
          <w:szCs w:val="28"/>
        </w:rPr>
        <w:t>，</w:t>
      </w:r>
      <w:r w:rsidR="00BE3A8E">
        <w:rPr>
          <w:rFonts w:eastAsia="標楷體" w:hAnsi="標楷體" w:hint="eastAsia"/>
          <w:sz w:val="28"/>
          <w:szCs w:val="28"/>
          <w:lang w:eastAsia="zh-HK"/>
        </w:rPr>
        <w:t>主要為</w:t>
      </w:r>
      <w:r w:rsidR="00D421A9">
        <w:rPr>
          <w:rFonts w:eastAsia="標楷體" w:hAnsi="標楷體" w:hint="eastAsia"/>
          <w:sz w:val="28"/>
          <w:szCs w:val="28"/>
        </w:rPr>
        <w:t>基金給付數增加</w:t>
      </w:r>
      <w:r w:rsidR="002C0173">
        <w:rPr>
          <w:rFonts w:eastAsia="標楷體" w:hAnsi="標楷體" w:hint="eastAsia"/>
          <w:sz w:val="28"/>
          <w:szCs w:val="28"/>
        </w:rPr>
        <w:t>約</w:t>
      </w:r>
      <w:r w:rsidR="00BE3A8E">
        <w:rPr>
          <w:rFonts w:eastAsia="標楷體" w:hAnsi="標楷體" w:hint="eastAsia"/>
          <w:sz w:val="28"/>
          <w:szCs w:val="28"/>
        </w:rPr>
        <w:t>38</w:t>
      </w:r>
      <w:r w:rsidR="005A705E">
        <w:rPr>
          <w:rFonts w:eastAsia="標楷體" w:hAnsi="標楷體" w:hint="eastAsia"/>
          <w:sz w:val="28"/>
          <w:szCs w:val="28"/>
        </w:rPr>
        <w:t>億</w:t>
      </w:r>
      <w:r w:rsidR="00BE3A8E">
        <w:rPr>
          <w:rFonts w:eastAsia="標楷體" w:hAnsi="標楷體" w:hint="eastAsia"/>
          <w:sz w:val="28"/>
          <w:szCs w:val="28"/>
          <w:lang w:eastAsia="zh-HK"/>
        </w:rPr>
        <w:t>元所致。其中</w:t>
      </w:r>
      <w:r w:rsidR="002F5DB9">
        <w:rPr>
          <w:rFonts w:eastAsia="標楷體" w:hAnsi="標楷體" w:hint="eastAsia"/>
          <w:sz w:val="28"/>
          <w:szCs w:val="28"/>
        </w:rPr>
        <w:t>基金給付數</w:t>
      </w:r>
      <w:r w:rsidRPr="00D060CF">
        <w:rPr>
          <w:rFonts w:eastAsia="標楷體" w:hAnsi="標楷體"/>
          <w:sz w:val="28"/>
          <w:szCs w:val="28"/>
        </w:rPr>
        <w:t>為</w:t>
      </w:r>
      <w:r w:rsidR="00BE3A8E">
        <w:rPr>
          <w:rFonts w:eastAsia="標楷體" w:hAnsi="標楷體"/>
          <w:sz w:val="28"/>
          <w:szCs w:val="28"/>
        </w:rPr>
        <w:t>904</w:t>
      </w:r>
      <w:r w:rsidRPr="00D060CF">
        <w:rPr>
          <w:rFonts w:eastAsia="標楷體" w:hAnsi="標楷體"/>
          <w:sz w:val="28"/>
          <w:szCs w:val="28"/>
        </w:rPr>
        <w:t>億</w:t>
      </w:r>
      <w:r w:rsidR="00BE3A8E">
        <w:rPr>
          <w:rFonts w:eastAsia="標楷體" w:hAnsi="標楷體"/>
          <w:sz w:val="28"/>
          <w:szCs w:val="28"/>
        </w:rPr>
        <w:t>6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BE3A8E">
        <w:rPr>
          <w:rFonts w:eastAsia="標楷體" w:hAnsi="標楷體" w:hint="eastAsia"/>
          <w:sz w:val="28"/>
          <w:szCs w:val="28"/>
        </w:rPr>
        <w:t>349</w:t>
      </w:r>
      <w:r w:rsidRPr="00D060CF">
        <w:rPr>
          <w:rFonts w:eastAsia="標楷體" w:hAnsi="標楷體"/>
          <w:sz w:val="28"/>
          <w:szCs w:val="28"/>
        </w:rPr>
        <w:t>萬</w:t>
      </w:r>
      <w:r w:rsidR="00BE3A8E">
        <w:rPr>
          <w:rFonts w:eastAsia="標楷體" w:hAnsi="標楷體"/>
          <w:sz w:val="28"/>
          <w:szCs w:val="28"/>
        </w:rPr>
        <w:t>7</w:t>
      </w:r>
      <w:r w:rsidR="00D421A9">
        <w:rPr>
          <w:rFonts w:eastAsia="標楷體" w:hAnsi="標楷體" w:hint="eastAsia"/>
          <w:sz w:val="28"/>
          <w:szCs w:val="28"/>
        </w:rPr>
        <w:t>千</w:t>
      </w:r>
      <w:r w:rsidR="004A4DD9">
        <w:rPr>
          <w:rFonts w:eastAsia="標楷體" w:hAnsi="標楷體" w:hint="eastAsia"/>
          <w:sz w:val="28"/>
          <w:szCs w:val="28"/>
        </w:rPr>
        <w:t>元，占</w:t>
      </w:r>
      <w:r w:rsidR="00D421A9">
        <w:rPr>
          <w:rFonts w:eastAsia="標楷體" w:hAnsi="標楷體" w:hint="eastAsia"/>
          <w:sz w:val="28"/>
          <w:szCs w:val="28"/>
        </w:rPr>
        <w:t>8</w:t>
      </w:r>
      <w:r w:rsidR="00BE3A8E">
        <w:rPr>
          <w:rFonts w:eastAsia="標楷體" w:hAnsi="標楷體" w:hint="eastAsia"/>
          <w:sz w:val="28"/>
          <w:szCs w:val="28"/>
        </w:rPr>
        <w:t>4</w:t>
      </w:r>
      <w:r w:rsidR="004A4DD9">
        <w:rPr>
          <w:rFonts w:eastAsia="標楷體" w:hAnsi="標楷體" w:hint="eastAsia"/>
          <w:sz w:val="28"/>
          <w:szCs w:val="28"/>
        </w:rPr>
        <w:t>.</w:t>
      </w:r>
      <w:r w:rsidR="00BE3A8E">
        <w:rPr>
          <w:rFonts w:eastAsia="標楷體" w:hAnsi="標楷體" w:hint="eastAsia"/>
          <w:sz w:val="28"/>
          <w:szCs w:val="28"/>
        </w:rPr>
        <w:t>37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；財務</w:t>
      </w:r>
      <w:r w:rsidR="00906ABB">
        <w:rPr>
          <w:rFonts w:eastAsia="標楷體" w:hAnsi="標楷體" w:hint="eastAsia"/>
          <w:sz w:val="28"/>
          <w:szCs w:val="28"/>
        </w:rPr>
        <w:t>及其他</w:t>
      </w:r>
      <w:r w:rsidRPr="00D060CF">
        <w:rPr>
          <w:rFonts w:eastAsia="標楷體" w:hAnsi="標楷體"/>
          <w:sz w:val="28"/>
          <w:szCs w:val="28"/>
        </w:rPr>
        <w:t>支出</w:t>
      </w:r>
      <w:r w:rsidR="004A4DD9">
        <w:rPr>
          <w:rFonts w:eastAsia="標楷體" w:hAnsi="標楷體" w:hint="eastAsia"/>
          <w:sz w:val="28"/>
          <w:szCs w:val="28"/>
        </w:rPr>
        <w:t>為</w:t>
      </w:r>
      <w:r w:rsidR="00BE3A8E">
        <w:rPr>
          <w:rFonts w:eastAsia="標楷體" w:hAnsi="標楷體" w:hint="eastAsia"/>
          <w:sz w:val="28"/>
          <w:szCs w:val="28"/>
        </w:rPr>
        <w:t>167</w:t>
      </w:r>
      <w:r w:rsidRPr="00D060CF">
        <w:rPr>
          <w:rFonts w:eastAsia="標楷體" w:hAnsi="標楷體"/>
          <w:sz w:val="28"/>
          <w:szCs w:val="28"/>
        </w:rPr>
        <w:t>億</w:t>
      </w:r>
      <w:r w:rsidR="00BE3A8E">
        <w:rPr>
          <w:rFonts w:eastAsia="標楷體" w:hAnsi="標楷體"/>
          <w:sz w:val="28"/>
          <w:szCs w:val="28"/>
        </w:rPr>
        <w:t>5</w:t>
      </w:r>
      <w:r w:rsidR="001067F6">
        <w:rPr>
          <w:rFonts w:eastAsia="標楷體" w:hAnsi="標楷體" w:hint="eastAsia"/>
          <w:sz w:val="28"/>
          <w:szCs w:val="28"/>
        </w:rPr>
        <w:t>,</w:t>
      </w:r>
      <w:r w:rsidR="00BE3A8E">
        <w:rPr>
          <w:rFonts w:eastAsia="標楷體" w:hAnsi="標楷體" w:hint="eastAsia"/>
          <w:sz w:val="28"/>
          <w:szCs w:val="28"/>
        </w:rPr>
        <w:t>399</w:t>
      </w:r>
      <w:r w:rsidRPr="00D060CF">
        <w:rPr>
          <w:rFonts w:eastAsia="標楷體" w:hAnsi="標楷體"/>
          <w:sz w:val="28"/>
          <w:szCs w:val="28"/>
        </w:rPr>
        <w:t>萬</w:t>
      </w:r>
      <w:r w:rsidR="00BE3A8E">
        <w:rPr>
          <w:rFonts w:eastAsia="標楷體" w:hAnsi="標楷體"/>
          <w:sz w:val="28"/>
          <w:szCs w:val="28"/>
        </w:rPr>
        <w:t>4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</w:t>
      </w:r>
      <w:r w:rsidR="004A4DD9">
        <w:rPr>
          <w:rFonts w:eastAsia="標楷體" w:hAnsi="標楷體" w:hint="eastAsia"/>
          <w:sz w:val="28"/>
          <w:szCs w:val="28"/>
        </w:rPr>
        <w:t>，占</w:t>
      </w:r>
      <w:r w:rsidR="00D421A9">
        <w:rPr>
          <w:rFonts w:eastAsia="標楷體" w:hAnsi="標楷體" w:hint="eastAsia"/>
          <w:sz w:val="28"/>
          <w:szCs w:val="28"/>
        </w:rPr>
        <w:t>1</w:t>
      </w:r>
      <w:r w:rsidR="00BE3A8E">
        <w:rPr>
          <w:rFonts w:eastAsia="標楷體" w:hAnsi="標楷體" w:hint="eastAsia"/>
          <w:sz w:val="28"/>
          <w:szCs w:val="28"/>
        </w:rPr>
        <w:t>5</w:t>
      </w:r>
      <w:r w:rsidR="00A42AA0">
        <w:rPr>
          <w:rFonts w:eastAsia="標楷體" w:hAnsi="標楷體" w:hint="eastAsia"/>
          <w:sz w:val="28"/>
          <w:szCs w:val="28"/>
        </w:rPr>
        <w:t>.</w:t>
      </w:r>
      <w:r w:rsidR="00BE3A8E">
        <w:rPr>
          <w:rFonts w:eastAsia="標楷體" w:hAnsi="標楷體" w:hint="eastAsia"/>
          <w:sz w:val="28"/>
          <w:szCs w:val="28"/>
        </w:rPr>
        <w:t>63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。</w:t>
      </w:r>
    </w:p>
    <w:p w:rsidR="00F12272" w:rsidRDefault="00D060CF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EB0D98">
        <w:rPr>
          <w:rFonts w:eastAsia="標楷體" w:hAnsi="標楷體" w:hint="eastAsia"/>
          <w:sz w:val="28"/>
          <w:szCs w:val="28"/>
        </w:rPr>
        <w:t>7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EB0D98">
        <w:rPr>
          <w:rFonts w:eastAsia="標楷體" w:hAnsi="標楷體" w:hint="eastAsia"/>
          <w:sz w:val="28"/>
          <w:szCs w:val="28"/>
        </w:rPr>
        <w:t>6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EB0D98">
        <w:rPr>
          <w:rFonts w:eastAsia="標楷體" w:hAnsi="標楷體" w:hint="eastAsia"/>
          <w:sz w:val="28"/>
          <w:szCs w:val="28"/>
        </w:rPr>
        <w:t>370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EB0D98">
        <w:rPr>
          <w:rFonts w:eastAsia="標楷體" w:hAnsi="標楷體"/>
          <w:sz w:val="28"/>
          <w:szCs w:val="28"/>
        </w:rPr>
        <w:t>278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5879C9">
        <w:rPr>
          <w:rFonts w:eastAsia="標楷體" w:hAnsi="標楷體" w:hint="eastAsia"/>
          <w:sz w:val="28"/>
          <w:szCs w:val="28"/>
        </w:rPr>
        <w:t>3</w:t>
      </w:r>
      <w:r w:rsidR="00F12272" w:rsidRPr="00DA14C7">
        <w:rPr>
          <w:rFonts w:eastAsia="標楷體" w:hAnsi="標楷體"/>
          <w:sz w:val="28"/>
          <w:szCs w:val="28"/>
        </w:rPr>
        <w:t>千元，累計支出</w:t>
      </w:r>
      <w:r w:rsidR="00EB0D98">
        <w:rPr>
          <w:rFonts w:eastAsia="標楷體" w:hAnsi="標楷體"/>
          <w:sz w:val="28"/>
          <w:szCs w:val="28"/>
        </w:rPr>
        <w:t>1</w:t>
      </w:r>
      <w:r w:rsidR="00EB0D98">
        <w:rPr>
          <w:rFonts w:eastAsia="標楷體" w:hAnsi="標楷體" w:hint="eastAsia"/>
          <w:sz w:val="28"/>
          <w:szCs w:val="28"/>
        </w:rPr>
        <w:t>兆</w:t>
      </w:r>
      <w:r w:rsidR="00EB0D98">
        <w:rPr>
          <w:rFonts w:eastAsia="標楷體" w:hAnsi="標楷體" w:hint="eastAsia"/>
          <w:sz w:val="28"/>
          <w:szCs w:val="28"/>
        </w:rPr>
        <w:t>831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EB0D98">
        <w:rPr>
          <w:rFonts w:eastAsia="標楷體" w:hAnsi="標楷體"/>
          <w:sz w:val="28"/>
          <w:szCs w:val="28"/>
        </w:rPr>
        <w:t>7</w:t>
      </w:r>
      <w:r w:rsidR="00963A96">
        <w:rPr>
          <w:rFonts w:eastAsia="標楷體" w:hAnsi="標楷體" w:hint="eastAsia"/>
          <w:sz w:val="28"/>
          <w:szCs w:val="28"/>
        </w:rPr>
        <w:t>,</w:t>
      </w:r>
      <w:r w:rsidR="00EB0D98">
        <w:rPr>
          <w:rFonts w:eastAsia="標楷體" w:hAnsi="標楷體" w:hint="eastAsia"/>
          <w:sz w:val="28"/>
          <w:szCs w:val="28"/>
        </w:rPr>
        <w:t>597</w:t>
      </w:r>
      <w:r w:rsidR="00F12272" w:rsidRPr="00DA14C7">
        <w:rPr>
          <w:rFonts w:eastAsia="標楷體" w:hAnsi="標楷體"/>
          <w:sz w:val="28"/>
          <w:szCs w:val="28"/>
        </w:rPr>
        <w:t>萬元，累計賸餘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EB0D98">
        <w:rPr>
          <w:rFonts w:eastAsia="標楷體" w:hint="eastAsia"/>
          <w:sz w:val="28"/>
          <w:szCs w:val="28"/>
        </w:rPr>
        <w:t>538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EB0D98">
        <w:rPr>
          <w:rFonts w:eastAsia="標楷體" w:hAnsi="標楷體"/>
          <w:sz w:val="28"/>
          <w:szCs w:val="28"/>
        </w:rPr>
        <w:t>2,681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ED340B">
        <w:rPr>
          <w:rFonts w:eastAsia="標楷體" w:hAnsi="標楷體"/>
          <w:sz w:val="28"/>
          <w:szCs w:val="28"/>
        </w:rPr>
        <w:t>3</w:t>
      </w:r>
      <w:r w:rsidR="005879C9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58735A">
        <w:rPr>
          <w:rFonts w:eastAsia="標楷體" w:hAnsi="標楷體" w:hint="eastAsia"/>
          <w:sz w:val="28"/>
          <w:szCs w:val="28"/>
        </w:rPr>
        <w:t>為</w:t>
      </w:r>
      <w:r w:rsidR="00963A96">
        <w:rPr>
          <w:rFonts w:eastAsia="標楷體" w:hAnsi="標楷體" w:hint="eastAsia"/>
          <w:sz w:val="28"/>
          <w:szCs w:val="28"/>
        </w:rPr>
        <w:t>48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963A96">
        <w:rPr>
          <w:rFonts w:eastAsia="標楷體" w:hAnsi="標楷體" w:hint="eastAsia"/>
          <w:sz w:val="28"/>
          <w:szCs w:val="28"/>
        </w:rPr>
        <w:t>8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963A96">
        <w:rPr>
          <w:rFonts w:eastAsia="標楷體" w:hAnsi="標楷體" w:hint="eastAsia"/>
          <w:sz w:val="28"/>
          <w:szCs w:val="28"/>
        </w:rPr>
        <w:t>174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963A96">
        <w:rPr>
          <w:rFonts w:eastAsia="標楷體" w:hAnsi="標楷體" w:hint="eastAsia"/>
          <w:sz w:val="28"/>
          <w:szCs w:val="28"/>
        </w:rPr>
        <w:t>2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117569" w:rsidRPr="00117569" w:rsidRDefault="00353B4B" w:rsidP="00353B4B">
      <w:pPr>
        <w:ind w:firstLineChars="1215" w:firstLine="2916"/>
        <w:rPr>
          <w:rFonts w:eastAsia="標楷體"/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0256" behindDoc="1" locked="0" layoutInCell="1" allowOverlap="1" wp14:anchorId="29A8CC56" wp14:editId="4BB3B8C9">
            <wp:simplePos x="0" y="0"/>
            <wp:positionH relativeFrom="column">
              <wp:posOffset>-59690</wp:posOffset>
            </wp:positionH>
            <wp:positionV relativeFrom="paragraph">
              <wp:posOffset>371475</wp:posOffset>
            </wp:positionV>
            <wp:extent cx="6428105" cy="324231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3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1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退撫基金收入</w:t>
      </w:r>
    </w:p>
    <w:p w:rsidR="002B5CF7" w:rsidRPr="0042175A" w:rsidRDefault="002B5CF7" w:rsidP="00104B08"/>
    <w:p w:rsidR="00053275" w:rsidRPr="00353B4B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2F5DB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353B4B" w:rsidP="00353B4B">
      <w:pPr>
        <w:ind w:firstLineChars="1240" w:firstLine="2976"/>
      </w:pPr>
      <w:r>
        <w:rPr>
          <w:noProof/>
        </w:rPr>
        <w:lastRenderedPageBreak/>
        <w:drawing>
          <wp:anchor distT="0" distB="0" distL="114300" distR="114300" simplePos="0" relativeHeight="251681280" behindDoc="1" locked="0" layoutInCell="1" allowOverlap="1" wp14:anchorId="4F037520" wp14:editId="52B133CD">
            <wp:simplePos x="0" y="0"/>
            <wp:positionH relativeFrom="column">
              <wp:posOffset>-114300</wp:posOffset>
            </wp:positionH>
            <wp:positionV relativeFrom="paragraph">
              <wp:posOffset>177377</wp:posOffset>
            </wp:positionV>
            <wp:extent cx="6183947" cy="3037246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47" cy="303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2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:rsidR="00117569" w:rsidRPr="007A4541" w:rsidRDefault="00117569" w:rsidP="00104B08"/>
    <w:p w:rsidR="00117569" w:rsidRPr="00353B4B" w:rsidRDefault="00117569" w:rsidP="00104B08"/>
    <w:p w:rsidR="00117569" w:rsidRPr="00A957AF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104B08" w:rsidRDefault="00117569" w:rsidP="00104B08">
      <w:pPr>
        <w:rPr>
          <w:szCs w:val="28"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近</w:t>
      </w:r>
      <w:r>
        <w:rPr>
          <w:rFonts w:eastAsia="標楷體" w:hint="eastAsia"/>
          <w:b/>
          <w:sz w:val="28"/>
          <w:szCs w:val="28"/>
        </w:rPr>
        <w:t>10</w:t>
      </w:r>
      <w:r w:rsidRPr="002E2D12">
        <w:rPr>
          <w:rFonts w:eastAsia="標楷體" w:hint="eastAsia"/>
          <w:b/>
          <w:sz w:val="28"/>
          <w:szCs w:val="28"/>
        </w:rPr>
        <w:t>年退休撫</w:t>
      </w:r>
      <w:proofErr w:type="gramStart"/>
      <w:r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Pr="002E2D12">
        <w:rPr>
          <w:rFonts w:eastAsia="標楷體" w:hint="eastAsia"/>
          <w:b/>
          <w:sz w:val="28"/>
          <w:szCs w:val="28"/>
        </w:rPr>
        <w:t>基金</w:t>
      </w:r>
      <w:r w:rsidR="002F5DB9">
        <w:rPr>
          <w:rFonts w:eastAsia="標楷體" w:hint="eastAsia"/>
          <w:b/>
          <w:sz w:val="28"/>
          <w:szCs w:val="28"/>
        </w:rPr>
        <w:t>收繳及給付數</w:t>
      </w:r>
    </w:p>
    <w:p w:rsidR="00C40789" w:rsidRDefault="003A1BA7" w:rsidP="006652B0">
      <w:pPr>
        <w:spacing w:line="460" w:lineRule="exact"/>
        <w:ind w:leftChars="232" w:left="557" w:firstLineChars="215" w:firstLine="60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E9B85B" wp14:editId="30526A41">
                <wp:simplePos x="0" y="0"/>
                <wp:positionH relativeFrom="column">
                  <wp:posOffset>685800</wp:posOffset>
                </wp:positionH>
                <wp:positionV relativeFrom="paragraph">
                  <wp:posOffset>6731000</wp:posOffset>
                </wp:positionV>
                <wp:extent cx="5029200" cy="276225"/>
                <wp:effectExtent l="9525" t="6350" r="9525" b="12700"/>
                <wp:wrapNone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6225"/>
                          <a:chOff x="2096" y="19603"/>
                          <a:chExt cx="7920" cy="435"/>
                        </a:xfrm>
                      </wpg:grpSpPr>
                      <wps:wsp>
                        <wps:cNvPr id="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9603"/>
                            <a:ext cx="7920" cy="435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165" w:rsidRPr="00FB705D" w:rsidRDefault="00A95165" w:rsidP="00A95165">
                              <w:pPr>
                                <w:spacing w:line="260" w:lineRule="exact"/>
                                <w:ind w:firstLineChars="450" w:firstLine="10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退撫支出  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　 　　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>財務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支出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總支出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9716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99CC00">
                                  <a:gamma/>
                                  <a:tint val="72941"/>
                                  <a:invGamma/>
                                </a:srgbClr>
                              </a:gs>
                              <a:gs pos="100000">
                                <a:srgbClr val="99CC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19729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7C80"/>
                              </a:gs>
                              <a:gs pos="50000">
                                <a:srgbClr val="FF7C80">
                                  <a:gamma/>
                                  <a:tint val="73725"/>
                                  <a:invGamma/>
                                </a:srgbClr>
                              </a:gs>
                              <a:gs pos="100000">
                                <a:srgbClr val="FF7C8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86"/>
                        <wpg:cNvGrpSpPr>
                          <a:grpSpLocks/>
                        </wpg:cNvGrpSpPr>
                        <wpg:grpSpPr bwMode="auto">
                          <a:xfrm>
                            <a:off x="7984" y="19770"/>
                            <a:ext cx="540" cy="108"/>
                            <a:chOff x="8458" y="14223"/>
                            <a:chExt cx="540" cy="108"/>
                          </a:xfrm>
                        </wpg:grpSpPr>
                        <wps:wsp>
                          <wps:cNvPr id="7" name="Line 187"/>
                          <wps:cNvCnPr/>
                          <wps:spPr bwMode="auto">
                            <a:xfrm>
                              <a:off x="8458" y="1428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" y="14223"/>
                              <a:ext cx="130" cy="108"/>
                            </a:xfrm>
                            <a:prstGeom prst="diamond">
                              <a:avLst/>
                            </a:prstGeom>
                            <a:solidFill>
                              <a:srgbClr val="800000"/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left:0;text-align:left;margin-left:54pt;margin-top:530pt;width:396pt;height:21.75pt;z-index:251657728" coordorigin="2096,19603" coordsize="7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7" type="#_x0000_t202" style="position:absolute;left:2096;top:19603;width:79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vL8A&#10;AADaAAAADwAAAGRycy9kb3ducmV2LnhtbERPW2vCMBR+H/gfwhH2tqbKGFKNooIX9jYVxbdjc2yL&#10;zUlNYu3+/TIY7PHju09mnalFS85XlhUMkhQEcW51xYWCw371NgLhA7LG2jIp+CYPs2nvZYKZtk/+&#10;onYXChFD2GeooAyhyaT0eUkGfWIb4shdrTMYInSF1A6fMdzUcpimH9JgxbGhxIaWJeW33cMoeL/k&#10;980nuvViXo2O7UnHIeebUq/9bj4GEagL/+I/91YrGMLvlXgD5P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Wi8vwAAANoAAAAPAAAAAAAAAAAAAAAAAJgCAABkcnMvZG93bnJl&#10;di54bWxQSwUGAAAAAAQABAD1AAAAhAMAAAAA&#10;" fillcolor="#d5ffff" strokecolor="gray" strokeweight="1pt">
                  <v:textbox>
                    <w:txbxContent>
                      <w:p w:rsidR="00A95165" w:rsidRPr="00FB705D" w:rsidRDefault="00A95165" w:rsidP="00A95165">
                        <w:pPr>
                          <w:spacing w:line="260" w:lineRule="exact"/>
                          <w:ind w:firstLineChars="450" w:firstLine="10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退撫支出  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　 　　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>財務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支出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總支出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3" o:spid="_x0000_s1028" type="#_x0000_t202" style="position:absolute;left:2751;top:19716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/XsEA&#10;AADaAAAADwAAAGRycy9kb3ducmV2LnhtbESPQWsCMRSE7wX/Q3iCt5q1gpTVKCoUxEOhVvH62Dw3&#10;6yYvSxJ1/fdNodDjMDPfMItV76y4U4iNZwWTcQGCuPK64VrB8fvj9R1ETMgarWdS8KQIq+XgZYGl&#10;9g/+ovsh1SJDOJaowKTUlVLGypDDOPYdcfYuPjhMWYZa6oCPDHdWvhXFTDpsOC8Y7GhrqGoPN6cg&#10;tCfeTfqNkdXNFZ/W7q/ndqbUaNiv5yAS9ek//NfeaQVT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/17BAAAA2gAAAA8AAAAAAAAAAAAAAAAAmAIAAGRycy9kb3du&#10;cmV2LnhtbFBLBQYAAAAABAAEAPUAAACGAwAAAAA=&#10;" fillcolor="#9c0" stroked="f">
                  <v:fill color2="#b5da45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shape id="Text Box 184" o:spid="_x0000_s1029" type="#_x0000_t202" style="position:absolute;left:5516;top:19729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+8MA&#10;AADaAAAADwAAAGRycy9kb3ducmV2LnhtbESPzWrDMBCE74W8g9hAb42ctAnBtWxCcGhPhfxA6G1t&#10;bW1Ta2UsxXbfvioUchxm5hsmySbTioF611hWsFxEIIhLqxuuFFzOh6ctCOeRNbaWScEPOcjS2UOC&#10;sbYjH2k4+UoECLsYFdTed7GUrqzJoFvYjjh4X7Y36IPsK6l7HAPctHIVRRtpsOGwUGNH+5rK79PN&#10;KDDn548yHz6j9d5y0fg3Llb5VanH+bR7BeFp8vfwf/td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x+8MAAADaAAAADwAAAAAAAAAAAAAAAACYAgAAZHJzL2Rv&#10;d25yZXYueG1sUEsFBgAAAAAEAAQA9QAAAIgDAAAAAA==&#10;" fillcolor="#ff7c80" stroked="f">
                  <v:fill color2="#ff9ea1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group id="Group 186" o:spid="_x0000_s1030" style="position:absolute;left:7984;top:19770;width:540;height:108" coordorigin="8458,14223" coordsize="54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7" o:spid="_x0000_s1031" style="position:absolute;visibility:visible;mso-wrap-style:square" from="8458,14286" to="8998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+5cMAAADaAAAADwAAAGRycy9kb3ducmV2LnhtbESPQWvCQBSE70L/w/IKvZlNpaikWUVa&#10;xOKpbgq9PrKvSTD7Ns2uSfz3XaHgcZiZb5h8O9lWDNT7xrGC5yQFQVw603Cl4KvYz9cgfEA22Dom&#10;BVfysN08zHLMjBv5RIMOlYgQ9hkqqEPoMil9WZNFn7iOOHo/rrcYouwraXocI9y2cpGmS2mx4bhQ&#10;Y0dvNZVnfbEKpL9Ox8Pv8kUPw7vX38VndWpGpZ4ep90riEBTuIf/2x9GwQpuV+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fuXDAAAA2gAAAA8AAAAAAAAAAAAA&#10;AAAAoQIAAGRycy9kb3ducmV2LnhtbFBLBQYAAAAABAAEAPkAAACRAwAAAAA=&#10;" strokecolor="maroon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8" o:spid="_x0000_s1032" type="#_x0000_t4" style="position:absolute;left:8675;top:14223;width:13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ssAA&#10;AADaAAAADwAAAGRycy9kb3ducmV2LnhtbERPy4rCMBTdC/MP4QruNFUHGappGWREEXXwsXF3aW4f&#10;THNTmqidvzcLweXhvBdpZ2pxp9ZVlhWMRxEI4szqigsFl/Nq+AXCeWSNtWVS8E8O0uSjt8BY2wcf&#10;6X7yhQgh7GJUUHrfxFK6rCSDbmQb4sDltjXoA2wLqVt8hHBTy0kUzaTBikNDiQ0tS8r+Tjej4LjL&#10;t5vV/md5sJ96fZ36XMrqV6lBv/ueg/DU+bf45d5o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7assAAAADaAAAADwAAAAAAAAAAAAAAAACYAgAAZHJzL2Rvd25y&#10;ZXYueG1sUEsFBgAAAAAEAAQA9QAAAIUDAAAAAA==&#10;" fillcolor="maroon" strokecolor="maroon"/>
                </v:group>
              </v:group>
            </w:pict>
          </mc:Fallback>
        </mc:AlternateConten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基金</w:t>
      </w:r>
      <w:r w:rsidR="0093038F">
        <w:rPr>
          <w:rFonts w:eastAsia="標楷體" w:hAnsi="標楷體" w:hint="eastAsia"/>
          <w:noProof/>
          <w:sz w:val="28"/>
          <w:szCs w:val="28"/>
        </w:rPr>
        <w:t>收繳數</w:t>
      </w:r>
      <w:r w:rsidR="002124AE">
        <w:rPr>
          <w:rFonts w:eastAsia="標楷體" w:hAnsi="標楷體" w:hint="eastAsia"/>
          <w:noProof/>
          <w:sz w:val="28"/>
          <w:szCs w:val="28"/>
        </w:rPr>
        <w:t>自</w:t>
      </w:r>
      <w:r w:rsidR="002124AE">
        <w:rPr>
          <w:rFonts w:eastAsia="標楷體" w:hAnsi="標楷體" w:hint="eastAsia"/>
          <w:noProof/>
          <w:sz w:val="28"/>
          <w:szCs w:val="28"/>
        </w:rPr>
        <w:t>9</w:t>
      </w:r>
      <w:r w:rsidR="00ED340B">
        <w:rPr>
          <w:rFonts w:eastAsia="標楷體" w:hAnsi="標楷體" w:hint="eastAsia"/>
          <w:noProof/>
          <w:sz w:val="28"/>
          <w:szCs w:val="28"/>
        </w:rPr>
        <w:t>8</w:t>
      </w:r>
      <w:r w:rsidR="002124AE">
        <w:rPr>
          <w:rFonts w:eastAsia="標楷體" w:hAnsi="標楷體" w:hint="eastAsia"/>
          <w:noProof/>
          <w:sz w:val="28"/>
          <w:szCs w:val="28"/>
        </w:rPr>
        <w:t>年至</w:t>
      </w:r>
      <w:r w:rsidR="005C7A22">
        <w:rPr>
          <w:rFonts w:eastAsia="標楷體" w:hAnsi="標楷體" w:hint="eastAsia"/>
          <w:noProof/>
          <w:sz w:val="28"/>
          <w:szCs w:val="28"/>
        </w:rPr>
        <w:t>103</w:t>
      </w:r>
      <w:r w:rsidR="005C7A22">
        <w:rPr>
          <w:rFonts w:eastAsia="標楷體" w:hAnsi="標楷體" w:hint="eastAsia"/>
          <w:noProof/>
          <w:sz w:val="28"/>
          <w:szCs w:val="28"/>
        </w:rPr>
        <w:t>年微幅上升，</w:t>
      </w:r>
      <w:r w:rsidR="0097696C">
        <w:rPr>
          <w:rFonts w:eastAsia="標楷體" w:hAnsi="標楷體" w:hint="eastAsia"/>
          <w:noProof/>
          <w:sz w:val="28"/>
          <w:szCs w:val="28"/>
        </w:rPr>
        <w:t>103</w:t>
      </w:r>
      <w:r w:rsidR="0097696C">
        <w:rPr>
          <w:rFonts w:eastAsia="標楷體" w:hAnsi="標楷體" w:hint="eastAsia"/>
          <w:noProof/>
          <w:sz w:val="28"/>
          <w:szCs w:val="28"/>
        </w:rPr>
        <w:t>年</w:t>
      </w:r>
      <w:r w:rsidR="005C7A22">
        <w:rPr>
          <w:rFonts w:eastAsia="標楷體" w:hAnsi="標楷體" w:hint="eastAsia"/>
          <w:noProof/>
          <w:sz w:val="28"/>
          <w:szCs w:val="28"/>
        </w:rPr>
        <w:t>之後至</w:t>
      </w:r>
      <w:r w:rsidR="005C7A22">
        <w:rPr>
          <w:rFonts w:eastAsia="標楷體" w:hAnsi="標楷體" w:hint="eastAsia"/>
          <w:noProof/>
          <w:sz w:val="28"/>
          <w:szCs w:val="28"/>
        </w:rPr>
        <w:t>106</w:t>
      </w:r>
      <w:r w:rsidR="005C7A22">
        <w:rPr>
          <w:rFonts w:eastAsia="標楷體" w:hAnsi="標楷體" w:hint="eastAsia"/>
          <w:noProof/>
          <w:sz w:val="28"/>
          <w:szCs w:val="28"/>
        </w:rPr>
        <w:t>年止，維持在</w:t>
      </w:r>
      <w:r w:rsidR="00ED340B">
        <w:rPr>
          <w:rFonts w:eastAsia="標楷體" w:hAnsi="標楷體" w:hint="eastAsia"/>
          <w:noProof/>
          <w:sz w:val="28"/>
          <w:szCs w:val="28"/>
          <w:lang w:eastAsia="zh-HK"/>
        </w:rPr>
        <w:t>約</w:t>
      </w:r>
      <w:r w:rsidR="005C7A22">
        <w:rPr>
          <w:rFonts w:eastAsia="標楷體" w:hAnsi="標楷體" w:hint="eastAsia"/>
          <w:noProof/>
          <w:sz w:val="28"/>
          <w:szCs w:val="28"/>
        </w:rPr>
        <w:t>597</w:t>
      </w:r>
      <w:r w:rsidR="005C7A22">
        <w:rPr>
          <w:rFonts w:eastAsia="標楷體" w:hAnsi="標楷體" w:hint="eastAsia"/>
          <w:noProof/>
          <w:sz w:val="28"/>
          <w:szCs w:val="28"/>
        </w:rPr>
        <w:t>億</w:t>
      </w:r>
      <w:r w:rsidR="00ED340B">
        <w:rPr>
          <w:rFonts w:eastAsia="標楷體" w:hAnsi="標楷體" w:hint="eastAsia"/>
          <w:noProof/>
          <w:sz w:val="28"/>
          <w:szCs w:val="28"/>
          <w:lang w:eastAsia="zh-HK"/>
        </w:rPr>
        <w:t>元</w:t>
      </w:r>
      <w:r w:rsidR="00754984">
        <w:rPr>
          <w:rFonts w:eastAsia="標楷體" w:hAnsi="標楷體" w:hint="eastAsia"/>
          <w:noProof/>
          <w:sz w:val="28"/>
          <w:szCs w:val="28"/>
        </w:rPr>
        <w:t>，</w:t>
      </w:r>
      <w:r w:rsidR="005C7A22">
        <w:rPr>
          <w:rFonts w:eastAsia="標楷體" w:hAnsi="標楷體" w:hint="eastAsia"/>
          <w:noProof/>
          <w:sz w:val="28"/>
          <w:szCs w:val="28"/>
        </w:rPr>
        <w:t>主要</w:t>
      </w:r>
      <w:r w:rsidR="00ED340B">
        <w:rPr>
          <w:rFonts w:eastAsia="標楷體" w:hAnsi="標楷體" w:hint="eastAsia"/>
          <w:noProof/>
          <w:sz w:val="28"/>
          <w:szCs w:val="28"/>
          <w:lang w:eastAsia="zh-HK"/>
        </w:rPr>
        <w:t>因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</w:t>
      </w:r>
      <w:r w:rsidR="00ED340B">
        <w:rPr>
          <w:rFonts w:eastAsia="標楷體" w:hAnsi="標楷體" w:hint="eastAsia"/>
          <w:noProof/>
          <w:sz w:val="28"/>
          <w:szCs w:val="28"/>
        </w:rPr>
        <w:t>8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99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B60BEC">
        <w:rPr>
          <w:rFonts w:eastAsia="標楷體" w:hAnsi="標楷體" w:hint="eastAsia"/>
          <w:noProof/>
          <w:sz w:val="28"/>
          <w:szCs w:val="28"/>
        </w:rPr>
        <w:t>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參加基金人數</w:t>
      </w:r>
      <w:r w:rsidR="00B60BEC">
        <w:rPr>
          <w:rFonts w:eastAsia="標楷體" w:hAnsi="標楷體" w:hint="eastAsia"/>
          <w:noProof/>
          <w:sz w:val="28"/>
          <w:szCs w:val="28"/>
        </w:rPr>
        <w:t>成長，</w:t>
      </w:r>
      <w:r w:rsidR="00CA737E">
        <w:rPr>
          <w:rFonts w:eastAsia="標楷體" w:hAnsi="標楷體" w:hint="eastAsia"/>
          <w:noProof/>
          <w:sz w:val="28"/>
          <w:szCs w:val="28"/>
        </w:rPr>
        <w:t>100</w:t>
      </w:r>
      <w:r w:rsidR="00CA737E">
        <w:rPr>
          <w:rFonts w:eastAsia="標楷體" w:hAnsi="標楷體" w:hint="eastAsia"/>
          <w:noProof/>
          <w:sz w:val="28"/>
          <w:szCs w:val="28"/>
        </w:rPr>
        <w:t>年</w:t>
      </w:r>
      <w:r w:rsidR="000B06C2">
        <w:rPr>
          <w:rFonts w:eastAsia="標楷體" w:hAnsi="標楷體" w:hint="eastAsia"/>
          <w:noProof/>
          <w:sz w:val="28"/>
          <w:szCs w:val="28"/>
        </w:rPr>
        <w:t>度為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7145D">
        <w:rPr>
          <w:rFonts w:eastAsia="標楷體" w:hAnsi="標楷體" w:hint="eastAsia"/>
          <w:noProof/>
          <w:sz w:val="28"/>
          <w:szCs w:val="28"/>
        </w:rPr>
        <w:t>，</w:t>
      </w:r>
      <w:r w:rsidR="004D10BF">
        <w:rPr>
          <w:rFonts w:eastAsia="標楷體" w:hAnsi="標楷體" w:hint="eastAsia"/>
          <w:noProof/>
          <w:sz w:val="28"/>
          <w:szCs w:val="28"/>
        </w:rPr>
        <w:t>102</w:t>
      </w:r>
      <w:r w:rsidR="0097145D">
        <w:rPr>
          <w:rFonts w:eastAsia="標楷體" w:hAnsi="標楷體" w:hint="eastAsia"/>
          <w:noProof/>
          <w:sz w:val="28"/>
          <w:szCs w:val="28"/>
        </w:rPr>
        <w:t>年度為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97145D">
        <w:rPr>
          <w:rFonts w:eastAsia="標楷體" w:hAnsi="標楷體" w:hint="eastAsia"/>
          <w:noProof/>
          <w:sz w:val="28"/>
          <w:szCs w:val="28"/>
        </w:rPr>
        <w:t>平均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俸</w:t>
      </w:r>
      <w:r w:rsidR="0097145D">
        <w:rPr>
          <w:rFonts w:eastAsia="標楷體" w:hAnsi="標楷體" w:hint="eastAsia"/>
          <w:noProof/>
          <w:sz w:val="28"/>
          <w:szCs w:val="28"/>
        </w:rPr>
        <w:t>額增加</w:t>
      </w:r>
      <w:r w:rsidR="00256471">
        <w:rPr>
          <w:rFonts w:eastAsia="標楷體" w:hAnsi="標楷體" w:hint="eastAsia"/>
          <w:noProof/>
          <w:sz w:val="28"/>
          <w:szCs w:val="28"/>
        </w:rPr>
        <w:t>所致</w:t>
      </w:r>
      <w:r w:rsidR="006652B0">
        <w:rPr>
          <w:rFonts w:eastAsia="標楷體" w:hAnsi="標楷體" w:hint="eastAsia"/>
          <w:noProof/>
          <w:sz w:val="28"/>
          <w:szCs w:val="28"/>
        </w:rPr>
        <w:t>，</w:t>
      </w:r>
      <w:r w:rsidR="006652B0">
        <w:rPr>
          <w:rFonts w:eastAsia="標楷體" w:hAnsi="標楷體" w:hint="eastAsia"/>
          <w:noProof/>
          <w:sz w:val="28"/>
          <w:szCs w:val="28"/>
        </w:rPr>
        <w:t>107</w:t>
      </w:r>
      <w:r w:rsidR="006652B0">
        <w:rPr>
          <w:rFonts w:eastAsia="標楷體" w:hAnsi="標楷體" w:hint="eastAsia"/>
          <w:noProof/>
          <w:sz w:val="28"/>
          <w:szCs w:val="28"/>
          <w:lang w:eastAsia="zh-HK"/>
        </w:rPr>
        <w:t>年</w:t>
      </w:r>
      <w:r w:rsidR="0078260A">
        <w:rPr>
          <w:rFonts w:eastAsia="標楷體" w:hAnsi="標楷體" w:hint="eastAsia"/>
          <w:noProof/>
          <w:sz w:val="28"/>
          <w:szCs w:val="28"/>
          <w:lang w:eastAsia="zh-HK"/>
        </w:rPr>
        <w:t>則</w:t>
      </w:r>
      <w:r w:rsidR="006652B0">
        <w:rPr>
          <w:rFonts w:eastAsia="標楷體" w:hAnsi="標楷體" w:hint="eastAsia"/>
          <w:noProof/>
          <w:sz w:val="28"/>
          <w:szCs w:val="28"/>
          <w:lang w:eastAsia="zh-HK"/>
        </w:rPr>
        <w:t>小幅升至約</w:t>
      </w:r>
      <w:r w:rsidR="006652B0">
        <w:rPr>
          <w:rFonts w:eastAsia="標楷體" w:hAnsi="標楷體" w:hint="eastAsia"/>
          <w:noProof/>
          <w:sz w:val="28"/>
          <w:szCs w:val="28"/>
          <w:lang w:eastAsia="zh-HK"/>
        </w:rPr>
        <w:t>658</w:t>
      </w:r>
      <w:r w:rsidR="006652B0">
        <w:rPr>
          <w:rFonts w:eastAsia="標楷體" w:hAnsi="標楷體" w:hint="eastAsia"/>
          <w:noProof/>
          <w:sz w:val="28"/>
          <w:szCs w:val="28"/>
          <w:lang w:eastAsia="zh-HK"/>
        </w:rPr>
        <w:t>億元</w:t>
      </w:r>
      <w:r w:rsidR="000C0ED1" w:rsidRPr="0064376D">
        <w:rPr>
          <w:rFonts w:eastAsia="標楷體" w:hAnsi="標楷體" w:hint="eastAsia"/>
          <w:noProof/>
          <w:sz w:val="28"/>
          <w:szCs w:val="28"/>
        </w:rPr>
        <w:t>；</w:t>
      </w:r>
      <w:r w:rsidR="005C7A22">
        <w:rPr>
          <w:rFonts w:eastAsia="標楷體" w:hAnsi="標楷體" w:hint="eastAsia"/>
          <w:noProof/>
          <w:sz w:val="28"/>
          <w:szCs w:val="28"/>
        </w:rPr>
        <w:t>基金</w:t>
      </w:r>
      <w:r w:rsidR="0093038F">
        <w:rPr>
          <w:rFonts w:eastAsia="標楷體" w:hAnsi="標楷體" w:hint="eastAsia"/>
          <w:noProof/>
          <w:sz w:val="28"/>
          <w:szCs w:val="28"/>
        </w:rPr>
        <w:t>給付數</w:t>
      </w:r>
      <w:r w:rsidR="000768F2" w:rsidRPr="0064376D">
        <w:rPr>
          <w:rFonts w:eastAsia="標楷體" w:hAnsi="標楷體" w:hint="eastAsia"/>
          <w:noProof/>
          <w:sz w:val="28"/>
          <w:szCs w:val="28"/>
        </w:rPr>
        <w:t>隨著累計退休人數增加而增加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，由</w:t>
      </w:r>
      <w:r w:rsidR="0069475B">
        <w:rPr>
          <w:rFonts w:eastAsia="標楷體" w:hAnsi="標楷體" w:hint="eastAsia"/>
          <w:noProof/>
          <w:sz w:val="28"/>
          <w:szCs w:val="28"/>
        </w:rPr>
        <w:t>9</w:t>
      </w:r>
      <w:r w:rsidR="00ED340B">
        <w:rPr>
          <w:rFonts w:eastAsia="標楷體" w:hAnsi="標楷體" w:hint="eastAsia"/>
          <w:noProof/>
          <w:sz w:val="28"/>
          <w:szCs w:val="28"/>
        </w:rPr>
        <w:t>8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逐年增加至</w:t>
      </w:r>
      <w:r w:rsidR="0069475B">
        <w:rPr>
          <w:rFonts w:eastAsia="標楷體" w:hAnsi="標楷體" w:hint="eastAsia"/>
          <w:noProof/>
          <w:sz w:val="28"/>
          <w:szCs w:val="28"/>
        </w:rPr>
        <w:t>10</w:t>
      </w:r>
      <w:r w:rsidR="00ED340B">
        <w:rPr>
          <w:rFonts w:eastAsia="標楷體" w:hAnsi="標楷體" w:hint="eastAsia"/>
          <w:noProof/>
          <w:sz w:val="28"/>
          <w:szCs w:val="28"/>
        </w:rPr>
        <w:t>7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78260A">
        <w:rPr>
          <w:rFonts w:eastAsia="標楷體" w:hAnsi="標楷體" w:hint="eastAsia"/>
          <w:noProof/>
          <w:sz w:val="28"/>
          <w:szCs w:val="28"/>
          <w:lang w:eastAsia="zh-HK"/>
        </w:rPr>
        <w:t>約</w:t>
      </w:r>
      <w:r w:rsidR="0078260A">
        <w:rPr>
          <w:rFonts w:eastAsia="標楷體" w:hAnsi="標楷體" w:hint="eastAsia"/>
          <w:noProof/>
          <w:sz w:val="28"/>
          <w:szCs w:val="28"/>
          <w:lang w:eastAsia="zh-HK"/>
        </w:rPr>
        <w:t>905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12053F">
        <w:rPr>
          <w:rFonts w:eastAsia="標楷體" w:hint="eastAsia"/>
          <w:sz w:val="28"/>
          <w:szCs w:val="28"/>
        </w:rPr>
        <w:t>元</w:t>
      </w:r>
      <w:r w:rsidR="00963D7C">
        <w:rPr>
          <w:rFonts w:eastAsia="標楷體" w:hint="eastAsia"/>
          <w:sz w:val="28"/>
          <w:szCs w:val="28"/>
        </w:rPr>
        <w:t>，</w:t>
      </w:r>
      <w:r w:rsidR="00963D7C">
        <w:rPr>
          <w:rFonts w:eastAsia="標楷體" w:hint="eastAsia"/>
          <w:sz w:val="28"/>
          <w:szCs w:val="28"/>
        </w:rPr>
        <w:t>10</w:t>
      </w:r>
      <w:r w:rsidR="00963D7C">
        <w:rPr>
          <w:rFonts w:eastAsia="標楷體" w:hint="eastAsia"/>
          <w:sz w:val="28"/>
          <w:szCs w:val="28"/>
        </w:rPr>
        <w:t>年間增加</w:t>
      </w:r>
      <w:r w:rsidR="00ED340B">
        <w:rPr>
          <w:rFonts w:eastAsia="標楷體" w:hint="eastAsia"/>
          <w:sz w:val="28"/>
          <w:szCs w:val="28"/>
          <w:lang w:eastAsia="zh-HK"/>
        </w:rPr>
        <w:t>約</w:t>
      </w:r>
      <w:r w:rsidR="00963D7C">
        <w:rPr>
          <w:rFonts w:eastAsia="標楷體" w:hint="eastAsia"/>
          <w:sz w:val="28"/>
          <w:szCs w:val="28"/>
        </w:rPr>
        <w:t>2</w:t>
      </w:r>
      <w:r w:rsidR="00963D7C">
        <w:rPr>
          <w:rFonts w:eastAsia="標楷體" w:hint="eastAsia"/>
          <w:sz w:val="28"/>
          <w:szCs w:val="28"/>
        </w:rPr>
        <w:t>倍</w:t>
      </w:r>
      <w:r w:rsidR="002F2BFA">
        <w:rPr>
          <w:rFonts w:eastAsia="標楷體" w:hint="eastAsia"/>
          <w:sz w:val="28"/>
          <w:szCs w:val="28"/>
        </w:rPr>
        <w:t>；而</w:t>
      </w:r>
      <w:r w:rsidR="0058735A">
        <w:rPr>
          <w:rFonts w:eastAsia="標楷體" w:hint="eastAsia"/>
          <w:sz w:val="28"/>
          <w:szCs w:val="28"/>
        </w:rPr>
        <w:t>基金給付數占基金收繳數百分比，</w:t>
      </w:r>
      <w:r w:rsidR="00ED340B">
        <w:rPr>
          <w:rFonts w:eastAsia="標楷體" w:hint="eastAsia"/>
          <w:sz w:val="28"/>
          <w:szCs w:val="28"/>
          <w:lang w:eastAsia="zh-HK"/>
        </w:rPr>
        <w:t>呈</w:t>
      </w:r>
      <w:r w:rsidR="00E63183">
        <w:rPr>
          <w:rFonts w:eastAsia="標楷體" w:hint="eastAsia"/>
          <w:sz w:val="28"/>
          <w:szCs w:val="28"/>
          <w:lang w:eastAsia="zh-HK"/>
        </w:rPr>
        <w:t>逐年</w:t>
      </w:r>
      <w:r w:rsidR="0097696C">
        <w:rPr>
          <w:rFonts w:eastAsia="標楷體" w:hint="eastAsia"/>
          <w:sz w:val="28"/>
          <w:szCs w:val="28"/>
        </w:rPr>
        <w:t>升高</w:t>
      </w:r>
      <w:r w:rsidR="00ED340B">
        <w:rPr>
          <w:rFonts w:eastAsia="標楷體" w:hint="eastAsia"/>
          <w:sz w:val="28"/>
          <w:szCs w:val="28"/>
          <w:lang w:eastAsia="zh-HK"/>
        </w:rPr>
        <w:t>趨勢</w:t>
      </w:r>
      <w:r w:rsidR="0097696C">
        <w:rPr>
          <w:rFonts w:eastAsia="標楷體" w:hint="eastAsia"/>
          <w:sz w:val="28"/>
          <w:szCs w:val="28"/>
        </w:rPr>
        <w:t>，</w:t>
      </w:r>
      <w:r w:rsidR="0058735A">
        <w:rPr>
          <w:rFonts w:eastAsia="標楷體" w:hint="eastAsia"/>
          <w:sz w:val="28"/>
          <w:szCs w:val="28"/>
        </w:rPr>
        <w:t>103</w:t>
      </w:r>
      <w:r w:rsidR="00963D7C">
        <w:rPr>
          <w:rFonts w:eastAsia="標楷體" w:hint="eastAsia"/>
          <w:sz w:val="28"/>
          <w:szCs w:val="28"/>
        </w:rPr>
        <w:t>年</w:t>
      </w:r>
      <w:r w:rsidR="006652B0">
        <w:rPr>
          <w:rFonts w:eastAsia="標楷體" w:hint="eastAsia"/>
          <w:sz w:val="28"/>
          <w:szCs w:val="28"/>
          <w:lang w:eastAsia="zh-HK"/>
        </w:rPr>
        <w:t>突破</w:t>
      </w:r>
      <w:r w:rsidR="006652B0">
        <w:rPr>
          <w:rFonts w:eastAsia="標楷體" w:hint="eastAsia"/>
          <w:sz w:val="28"/>
          <w:szCs w:val="28"/>
          <w:lang w:eastAsia="zh-HK"/>
        </w:rPr>
        <w:t>100%</w:t>
      </w:r>
      <w:r w:rsidR="00E63183">
        <w:rPr>
          <w:rFonts w:eastAsia="標楷體" w:hint="eastAsia"/>
          <w:sz w:val="28"/>
          <w:szCs w:val="28"/>
          <w:lang w:eastAsia="zh-HK"/>
        </w:rPr>
        <w:t>為</w:t>
      </w:r>
      <w:r w:rsidR="00E63183">
        <w:rPr>
          <w:rFonts w:eastAsia="標楷體" w:hint="eastAsia"/>
          <w:sz w:val="28"/>
          <w:szCs w:val="28"/>
        </w:rPr>
        <w:t>105.64%</w:t>
      </w:r>
      <w:r w:rsidR="00E63183">
        <w:rPr>
          <w:rFonts w:eastAsia="標楷體" w:hint="eastAsia"/>
          <w:sz w:val="28"/>
          <w:szCs w:val="28"/>
          <w:lang w:eastAsia="zh-HK"/>
        </w:rPr>
        <w:t>，</w:t>
      </w:r>
      <w:r w:rsidR="002F2BFA">
        <w:rPr>
          <w:rFonts w:eastAsia="標楷體" w:hint="eastAsia"/>
          <w:sz w:val="28"/>
          <w:szCs w:val="28"/>
        </w:rPr>
        <w:t>至</w:t>
      </w:r>
      <w:r w:rsidR="002F2BFA">
        <w:rPr>
          <w:rFonts w:eastAsia="標楷體" w:hint="eastAsia"/>
          <w:sz w:val="28"/>
          <w:szCs w:val="28"/>
        </w:rPr>
        <w:t>106</w:t>
      </w:r>
      <w:r w:rsidR="002F2BFA">
        <w:rPr>
          <w:rFonts w:eastAsia="標楷體" w:hint="eastAsia"/>
          <w:sz w:val="28"/>
          <w:szCs w:val="28"/>
        </w:rPr>
        <w:t>年</w:t>
      </w:r>
      <w:r w:rsidR="00E63183">
        <w:rPr>
          <w:rFonts w:eastAsia="標楷體" w:hint="eastAsia"/>
          <w:sz w:val="28"/>
          <w:szCs w:val="28"/>
          <w:lang w:eastAsia="zh-HK"/>
        </w:rPr>
        <w:t>為</w:t>
      </w:r>
      <w:r w:rsidR="002F2BFA">
        <w:rPr>
          <w:rFonts w:eastAsia="標楷體" w:hint="eastAsia"/>
          <w:sz w:val="28"/>
          <w:szCs w:val="28"/>
        </w:rPr>
        <w:t>145.05%</w:t>
      </w:r>
      <w:r w:rsidR="00ED340B">
        <w:rPr>
          <w:rFonts w:eastAsia="標楷體" w:hint="eastAsia"/>
          <w:sz w:val="28"/>
          <w:szCs w:val="28"/>
          <w:lang w:eastAsia="zh-HK"/>
        </w:rPr>
        <w:t>，</w:t>
      </w:r>
      <w:r w:rsidR="00ED340B">
        <w:rPr>
          <w:rFonts w:eastAsia="標楷體" w:hint="eastAsia"/>
          <w:sz w:val="28"/>
          <w:szCs w:val="28"/>
          <w:lang w:eastAsia="zh-HK"/>
        </w:rPr>
        <w:t>107</w:t>
      </w:r>
      <w:r w:rsidR="00ED340B">
        <w:rPr>
          <w:rFonts w:eastAsia="標楷體" w:hint="eastAsia"/>
          <w:sz w:val="28"/>
          <w:szCs w:val="28"/>
          <w:lang w:eastAsia="zh-HK"/>
        </w:rPr>
        <w:t>年小幅降至</w:t>
      </w:r>
      <w:r w:rsidR="00ED340B">
        <w:rPr>
          <w:rFonts w:eastAsia="標楷體" w:hint="eastAsia"/>
          <w:sz w:val="28"/>
          <w:szCs w:val="28"/>
          <w:lang w:eastAsia="zh-HK"/>
        </w:rPr>
        <w:t>137.40%</w:t>
      </w:r>
      <w:r w:rsidR="000768F2" w:rsidRPr="00F202A1">
        <w:rPr>
          <w:rFonts w:eastAsia="標楷體" w:hint="eastAsia"/>
          <w:sz w:val="28"/>
          <w:szCs w:val="28"/>
        </w:rPr>
        <w:t>。</w:t>
      </w:r>
    </w:p>
    <w:p w:rsidR="00375BAC" w:rsidRDefault="006652B0" w:rsidP="00134E40">
      <w:pPr>
        <w:ind w:firstLineChars="860" w:firstLine="241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2304" behindDoc="1" locked="0" layoutInCell="1" allowOverlap="1" wp14:anchorId="6934B3D7" wp14:editId="25E437E5">
            <wp:simplePos x="0" y="0"/>
            <wp:positionH relativeFrom="column">
              <wp:posOffset>88265</wp:posOffset>
            </wp:positionH>
            <wp:positionV relativeFrom="paragraph">
              <wp:posOffset>172085</wp:posOffset>
            </wp:positionV>
            <wp:extent cx="6045200" cy="3440712"/>
            <wp:effectExtent l="0" t="0" r="0" b="762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44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3</w:t>
      </w:r>
      <w:bookmarkStart w:id="0" w:name="_GoBack"/>
      <w:bookmarkEnd w:id="0"/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</w:t>
      </w:r>
      <w:r w:rsidR="00134E40">
        <w:rPr>
          <w:rFonts w:eastAsia="標楷體" w:hint="eastAsia"/>
          <w:b/>
          <w:sz w:val="28"/>
          <w:szCs w:val="28"/>
        </w:rPr>
        <w:t>繳及給付數</w:t>
      </w:r>
      <w:r w:rsidR="00117569" w:rsidRPr="00117569">
        <w:rPr>
          <w:rFonts w:eastAsia="標楷體"/>
          <w:b/>
          <w:sz w:val="28"/>
          <w:szCs w:val="28"/>
        </w:rPr>
        <w:t>比較</w:t>
      </w:r>
    </w:p>
    <w:p w:rsidR="00726275" w:rsidRPr="006652B0" w:rsidRDefault="00726275" w:rsidP="009B29AD">
      <w:pPr>
        <w:ind w:firstLineChars="1200" w:firstLine="3363"/>
        <w:rPr>
          <w:rFonts w:eastAsia="標楷體"/>
          <w:b/>
          <w:sz w:val="28"/>
          <w:szCs w:val="28"/>
        </w:rPr>
      </w:pPr>
    </w:p>
    <w:sectPr w:rsidR="00726275" w:rsidRPr="006652B0" w:rsidSect="0070205B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0768B3">
      <w:rPr>
        <w:rStyle w:val="a4"/>
        <w:noProof/>
        <w:sz w:val="24"/>
      </w:rPr>
      <w:t>- 28 -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9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55128D"/>
    <w:multiLevelType w:val="hybridMultilevel"/>
    <w:tmpl w:val="F2F41ECC"/>
    <w:lvl w:ilvl="0" w:tplc="2EDAC04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2465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42DA9"/>
    <w:rsid w:val="00051DCC"/>
    <w:rsid w:val="00053275"/>
    <w:rsid w:val="00053C94"/>
    <w:rsid w:val="00057CC4"/>
    <w:rsid w:val="00065678"/>
    <w:rsid w:val="00071BCC"/>
    <w:rsid w:val="00074ADC"/>
    <w:rsid w:val="000768B3"/>
    <w:rsid w:val="000768F2"/>
    <w:rsid w:val="000B0615"/>
    <w:rsid w:val="000B06C2"/>
    <w:rsid w:val="000C0ED1"/>
    <w:rsid w:val="000C2BB9"/>
    <w:rsid w:val="000D0E1B"/>
    <w:rsid w:val="000D3044"/>
    <w:rsid w:val="000F126E"/>
    <w:rsid w:val="000F3637"/>
    <w:rsid w:val="000F6279"/>
    <w:rsid w:val="001030CD"/>
    <w:rsid w:val="00104B08"/>
    <w:rsid w:val="001067F6"/>
    <w:rsid w:val="00117569"/>
    <w:rsid w:val="0012053F"/>
    <w:rsid w:val="001247C3"/>
    <w:rsid w:val="00124E78"/>
    <w:rsid w:val="00126117"/>
    <w:rsid w:val="00134632"/>
    <w:rsid w:val="00134E40"/>
    <w:rsid w:val="00137125"/>
    <w:rsid w:val="00150193"/>
    <w:rsid w:val="001652FF"/>
    <w:rsid w:val="00166628"/>
    <w:rsid w:val="0017373E"/>
    <w:rsid w:val="0018467F"/>
    <w:rsid w:val="00192FE4"/>
    <w:rsid w:val="00197A1B"/>
    <w:rsid w:val="001B7751"/>
    <w:rsid w:val="001C3559"/>
    <w:rsid w:val="001D2E77"/>
    <w:rsid w:val="001D65FF"/>
    <w:rsid w:val="001E302C"/>
    <w:rsid w:val="001E7DCE"/>
    <w:rsid w:val="001E7ECE"/>
    <w:rsid w:val="001F2E2F"/>
    <w:rsid w:val="001F31CC"/>
    <w:rsid w:val="001F5EA7"/>
    <w:rsid w:val="00200A6B"/>
    <w:rsid w:val="00201107"/>
    <w:rsid w:val="00202CFB"/>
    <w:rsid w:val="002124AE"/>
    <w:rsid w:val="00223A6B"/>
    <w:rsid w:val="002418EB"/>
    <w:rsid w:val="002503E4"/>
    <w:rsid w:val="00256471"/>
    <w:rsid w:val="00272EDC"/>
    <w:rsid w:val="0028297C"/>
    <w:rsid w:val="00286D21"/>
    <w:rsid w:val="00296206"/>
    <w:rsid w:val="002A09F8"/>
    <w:rsid w:val="002A793E"/>
    <w:rsid w:val="002B2207"/>
    <w:rsid w:val="002B5CF7"/>
    <w:rsid w:val="002C0173"/>
    <w:rsid w:val="002D3F51"/>
    <w:rsid w:val="002D638B"/>
    <w:rsid w:val="002E2D12"/>
    <w:rsid w:val="002E3A33"/>
    <w:rsid w:val="002F25B7"/>
    <w:rsid w:val="002F2BFA"/>
    <w:rsid w:val="002F5DB9"/>
    <w:rsid w:val="00302625"/>
    <w:rsid w:val="00305D97"/>
    <w:rsid w:val="0031463D"/>
    <w:rsid w:val="003224D2"/>
    <w:rsid w:val="00330038"/>
    <w:rsid w:val="00344752"/>
    <w:rsid w:val="00346F6B"/>
    <w:rsid w:val="00353B4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14277"/>
    <w:rsid w:val="0042175A"/>
    <w:rsid w:val="0042268D"/>
    <w:rsid w:val="00426AD4"/>
    <w:rsid w:val="00434E64"/>
    <w:rsid w:val="004363F9"/>
    <w:rsid w:val="004422CC"/>
    <w:rsid w:val="00453E89"/>
    <w:rsid w:val="004562CE"/>
    <w:rsid w:val="00456690"/>
    <w:rsid w:val="00460621"/>
    <w:rsid w:val="004622D6"/>
    <w:rsid w:val="00476744"/>
    <w:rsid w:val="00480F46"/>
    <w:rsid w:val="00483537"/>
    <w:rsid w:val="004A4DD9"/>
    <w:rsid w:val="004D10BF"/>
    <w:rsid w:val="004F1F4E"/>
    <w:rsid w:val="004F22B3"/>
    <w:rsid w:val="004F748C"/>
    <w:rsid w:val="00511E53"/>
    <w:rsid w:val="00513DA7"/>
    <w:rsid w:val="00515008"/>
    <w:rsid w:val="00520A18"/>
    <w:rsid w:val="0052187D"/>
    <w:rsid w:val="005256CF"/>
    <w:rsid w:val="005321F9"/>
    <w:rsid w:val="00541D22"/>
    <w:rsid w:val="00544EC6"/>
    <w:rsid w:val="0054576F"/>
    <w:rsid w:val="00550F58"/>
    <w:rsid w:val="005623ED"/>
    <w:rsid w:val="00571BCB"/>
    <w:rsid w:val="00575AAD"/>
    <w:rsid w:val="00577DB2"/>
    <w:rsid w:val="005828FB"/>
    <w:rsid w:val="005834D7"/>
    <w:rsid w:val="0058420D"/>
    <w:rsid w:val="0058735A"/>
    <w:rsid w:val="005879C9"/>
    <w:rsid w:val="00596C1C"/>
    <w:rsid w:val="005A30E3"/>
    <w:rsid w:val="005A705E"/>
    <w:rsid w:val="005B10DA"/>
    <w:rsid w:val="005B1F90"/>
    <w:rsid w:val="005B54E4"/>
    <w:rsid w:val="005C7717"/>
    <w:rsid w:val="005C7A22"/>
    <w:rsid w:val="005D5BAC"/>
    <w:rsid w:val="005D6944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652B0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05B"/>
    <w:rsid w:val="00702553"/>
    <w:rsid w:val="007052D1"/>
    <w:rsid w:val="0070613B"/>
    <w:rsid w:val="00710742"/>
    <w:rsid w:val="0071472F"/>
    <w:rsid w:val="00722BE0"/>
    <w:rsid w:val="00726275"/>
    <w:rsid w:val="00731334"/>
    <w:rsid w:val="00741156"/>
    <w:rsid w:val="00747A02"/>
    <w:rsid w:val="00747D6E"/>
    <w:rsid w:val="0075094A"/>
    <w:rsid w:val="00754984"/>
    <w:rsid w:val="00754EC0"/>
    <w:rsid w:val="007553D2"/>
    <w:rsid w:val="00764AC8"/>
    <w:rsid w:val="00770139"/>
    <w:rsid w:val="00774C3F"/>
    <w:rsid w:val="0077505A"/>
    <w:rsid w:val="00775F35"/>
    <w:rsid w:val="0078260A"/>
    <w:rsid w:val="007A4541"/>
    <w:rsid w:val="007C40D6"/>
    <w:rsid w:val="007D04AF"/>
    <w:rsid w:val="007D7623"/>
    <w:rsid w:val="007E7C1F"/>
    <w:rsid w:val="007F0C10"/>
    <w:rsid w:val="0080432F"/>
    <w:rsid w:val="008110D0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B1B0E"/>
    <w:rsid w:val="008C1673"/>
    <w:rsid w:val="008C1F73"/>
    <w:rsid w:val="008E4D5C"/>
    <w:rsid w:val="00903CB9"/>
    <w:rsid w:val="0090552A"/>
    <w:rsid w:val="00906ABB"/>
    <w:rsid w:val="00907F7F"/>
    <w:rsid w:val="009123C2"/>
    <w:rsid w:val="00915935"/>
    <w:rsid w:val="009210AA"/>
    <w:rsid w:val="009240E2"/>
    <w:rsid w:val="0093038F"/>
    <w:rsid w:val="00933B07"/>
    <w:rsid w:val="00941112"/>
    <w:rsid w:val="00945BF6"/>
    <w:rsid w:val="00946705"/>
    <w:rsid w:val="00947C90"/>
    <w:rsid w:val="00957720"/>
    <w:rsid w:val="00960E54"/>
    <w:rsid w:val="00963A96"/>
    <w:rsid w:val="00963D7C"/>
    <w:rsid w:val="0097145D"/>
    <w:rsid w:val="00971D44"/>
    <w:rsid w:val="00974A4E"/>
    <w:rsid w:val="0097696C"/>
    <w:rsid w:val="0098029D"/>
    <w:rsid w:val="00992E05"/>
    <w:rsid w:val="0099529E"/>
    <w:rsid w:val="009962AD"/>
    <w:rsid w:val="009A22B1"/>
    <w:rsid w:val="009B29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42AA0"/>
    <w:rsid w:val="00A63DFE"/>
    <w:rsid w:val="00A95165"/>
    <w:rsid w:val="00A957AF"/>
    <w:rsid w:val="00A957B6"/>
    <w:rsid w:val="00A97EF1"/>
    <w:rsid w:val="00AB6367"/>
    <w:rsid w:val="00AD150F"/>
    <w:rsid w:val="00AE60D0"/>
    <w:rsid w:val="00AF7F4A"/>
    <w:rsid w:val="00B11DE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3A8E"/>
    <w:rsid w:val="00BE63E3"/>
    <w:rsid w:val="00BE718D"/>
    <w:rsid w:val="00BF0A3C"/>
    <w:rsid w:val="00BF374A"/>
    <w:rsid w:val="00C12DF9"/>
    <w:rsid w:val="00C40789"/>
    <w:rsid w:val="00C41158"/>
    <w:rsid w:val="00C51167"/>
    <w:rsid w:val="00C53DA1"/>
    <w:rsid w:val="00C53E93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CD78EB"/>
    <w:rsid w:val="00D01EA5"/>
    <w:rsid w:val="00D04D53"/>
    <w:rsid w:val="00D05496"/>
    <w:rsid w:val="00D060CF"/>
    <w:rsid w:val="00D23439"/>
    <w:rsid w:val="00D307C4"/>
    <w:rsid w:val="00D361A9"/>
    <w:rsid w:val="00D421A9"/>
    <w:rsid w:val="00D55554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D71E9"/>
    <w:rsid w:val="00DE34C1"/>
    <w:rsid w:val="00DE615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3183"/>
    <w:rsid w:val="00E64535"/>
    <w:rsid w:val="00E7075C"/>
    <w:rsid w:val="00E759A1"/>
    <w:rsid w:val="00EA7CB4"/>
    <w:rsid w:val="00EB0D98"/>
    <w:rsid w:val="00EC1D03"/>
    <w:rsid w:val="00ED340B"/>
    <w:rsid w:val="00ED6C74"/>
    <w:rsid w:val="00EE29A7"/>
    <w:rsid w:val="00EE37C4"/>
    <w:rsid w:val="00EE5BE7"/>
    <w:rsid w:val="00EF29A5"/>
    <w:rsid w:val="00EF5361"/>
    <w:rsid w:val="00F03266"/>
    <w:rsid w:val="00F04A76"/>
    <w:rsid w:val="00F10540"/>
    <w:rsid w:val="00F12272"/>
    <w:rsid w:val="00F1602E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78F3"/>
    <w:rsid w:val="00F62999"/>
    <w:rsid w:val="00F77647"/>
    <w:rsid w:val="00F83E37"/>
    <w:rsid w:val="00FA09FD"/>
    <w:rsid w:val="00FA0FBA"/>
    <w:rsid w:val="00FA7569"/>
    <w:rsid w:val="00FB705D"/>
    <w:rsid w:val="00FB73CD"/>
    <w:rsid w:val="00FB7D1C"/>
    <w:rsid w:val="00FC06F1"/>
    <w:rsid w:val="00FC316A"/>
    <w:rsid w:val="00FC4377"/>
    <w:rsid w:val="00FD5C34"/>
    <w:rsid w:val="00FE2779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71B7-F910-4D60-9D78-AD440682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661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65</cp:revision>
  <cp:lastPrinted>2013-05-30T07:02:00Z</cp:lastPrinted>
  <dcterms:created xsi:type="dcterms:W3CDTF">2013-06-06T09:32:00Z</dcterms:created>
  <dcterms:modified xsi:type="dcterms:W3CDTF">2019-06-05T03:28:00Z</dcterms:modified>
</cp:coreProperties>
</file>